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B851B" w14:textId="77777777" w:rsidR="00630516" w:rsidRDefault="00630516" w:rsidP="0055228B">
      <w:pPr>
        <w:spacing w:after="0" w:line="240" w:lineRule="auto"/>
        <w:jc w:val="both"/>
        <w:rPr>
          <w:rFonts w:ascii="Arial" w:eastAsia="Times New Roman" w:hAnsi="Arial" w:cs="Arial"/>
          <w:b/>
          <w:bCs/>
          <w:noProof/>
          <w:color w:val="000000"/>
          <w:lang w:val="mk-MK" w:eastAsia="en-GB"/>
        </w:rPr>
      </w:pPr>
      <w:bookmarkStart w:id="0" w:name="_GoBack"/>
      <w:bookmarkEnd w:id="0"/>
    </w:p>
    <w:p w14:paraId="5CF8E68C" w14:textId="15EE305B" w:rsidR="0055228B" w:rsidRPr="00720ACA" w:rsidRDefault="0055228B" w:rsidP="0055228B">
      <w:pPr>
        <w:spacing w:after="0" w:line="240" w:lineRule="auto"/>
        <w:jc w:val="both"/>
        <w:rPr>
          <w:rFonts w:ascii="Arial" w:eastAsia="Times New Roman" w:hAnsi="Arial" w:cs="Arial"/>
          <w:noProof/>
          <w:lang w:val="mk-MK" w:eastAsia="en-GB"/>
        </w:rPr>
      </w:pPr>
      <w:r w:rsidRPr="00720ACA">
        <w:rPr>
          <w:rFonts w:ascii="Arial" w:eastAsia="Times New Roman" w:hAnsi="Arial" w:cs="Arial"/>
          <w:b/>
          <w:bCs/>
          <w:noProof/>
          <w:color w:val="000000"/>
          <w:lang w:val="mk-MK" w:eastAsia="en-GB"/>
        </w:rPr>
        <w:t>Правното мислење на МЗД и Родовата платформа, што се заснова на анализата на одредбите на новиот текст на Законот за работните односи, се состои од неколку коментари:</w:t>
      </w:r>
    </w:p>
    <w:p w14:paraId="53B17B6D" w14:textId="78EF015D" w:rsidR="0055228B" w:rsidRPr="00720ACA" w:rsidRDefault="0055228B" w:rsidP="0055228B">
      <w:pPr>
        <w:spacing w:after="0" w:line="240" w:lineRule="auto"/>
        <w:jc w:val="both"/>
        <w:rPr>
          <w:rFonts w:ascii="Arial" w:eastAsia="Times New Roman" w:hAnsi="Arial" w:cs="Arial"/>
          <w:noProof/>
          <w:lang w:val="mk-MK" w:eastAsia="en-GB"/>
        </w:rPr>
      </w:pPr>
    </w:p>
    <w:p w14:paraId="5AD8D405" w14:textId="298576D1" w:rsidR="0055228B" w:rsidRPr="00720ACA" w:rsidRDefault="0055228B" w:rsidP="0055228B">
      <w:pPr>
        <w:numPr>
          <w:ilvl w:val="0"/>
          <w:numId w:val="16"/>
        </w:numPr>
        <w:spacing w:after="0" w:line="240" w:lineRule="auto"/>
        <w:jc w:val="both"/>
        <w:textAlignment w:val="baseline"/>
        <w:rPr>
          <w:rFonts w:ascii="Arial" w:eastAsia="Times New Roman" w:hAnsi="Arial" w:cs="Arial"/>
          <w:noProof/>
          <w:color w:val="000000"/>
          <w:lang w:val="mk-MK" w:eastAsia="en-GB"/>
        </w:rPr>
      </w:pPr>
      <w:r w:rsidRPr="00720ACA">
        <w:rPr>
          <w:rFonts w:ascii="Arial" w:eastAsia="Times New Roman" w:hAnsi="Arial" w:cs="Arial"/>
          <w:noProof/>
          <w:color w:val="000000"/>
          <w:lang w:val="mk-MK" w:eastAsia="en-GB"/>
        </w:rPr>
        <w:t>Не може да се зборува за унапредување на работничките права, ако основниот закон во оваа област надвор од својата заштита остава значаен број работници што фактички работат, без договори за вработување. Новиот, како и стариот ЗРО, како работник го дефинира секое физичко лице кое е во работен однос врз основа на склучен договор за вработување. Оваа дефиниција е неточна и не обезбедува заштита на голем број работници кои фактички работат, без договор за вработување или со поинаков договор, и не е во согласност со европското законодавство и меѓународните стандарди</w:t>
      </w:r>
      <w:r w:rsidR="00473C39">
        <w:rPr>
          <w:rFonts w:ascii="Arial" w:eastAsia="Times New Roman" w:hAnsi="Arial" w:cs="Arial"/>
          <w:noProof/>
          <w:color w:val="000000"/>
          <w:lang w:eastAsia="en-GB"/>
        </w:rPr>
        <w:t>.</w:t>
      </w:r>
    </w:p>
    <w:p w14:paraId="4B4AB256" w14:textId="77777777" w:rsidR="0055228B" w:rsidRPr="00720ACA" w:rsidRDefault="0055228B" w:rsidP="0055228B">
      <w:pPr>
        <w:spacing w:after="0" w:line="240" w:lineRule="auto"/>
        <w:jc w:val="both"/>
        <w:rPr>
          <w:rFonts w:ascii="Arial" w:eastAsia="Times New Roman" w:hAnsi="Arial" w:cs="Arial"/>
          <w:noProof/>
          <w:lang w:val="mk-MK" w:eastAsia="en-GB"/>
        </w:rPr>
      </w:pPr>
    </w:p>
    <w:p w14:paraId="0BA86403" w14:textId="27A12C19" w:rsidR="0055228B" w:rsidRPr="00720ACA" w:rsidRDefault="0055228B" w:rsidP="0055228B">
      <w:pPr>
        <w:spacing w:after="0" w:line="240" w:lineRule="auto"/>
        <w:ind w:left="720"/>
        <w:jc w:val="both"/>
        <w:rPr>
          <w:rFonts w:ascii="Arial" w:eastAsia="Times New Roman" w:hAnsi="Arial" w:cs="Arial"/>
          <w:noProof/>
          <w:lang w:val="mk-MK" w:eastAsia="en-GB"/>
        </w:rPr>
      </w:pPr>
      <w:r w:rsidRPr="00720ACA">
        <w:rPr>
          <w:rFonts w:ascii="Arial" w:eastAsia="Times New Roman" w:hAnsi="Arial" w:cs="Arial"/>
          <w:noProof/>
          <w:color w:val="000000"/>
          <w:lang w:val="mk-MK" w:eastAsia="en-GB"/>
        </w:rPr>
        <w:t>Предлагаме Законот да се усогласи со европското законодавство</w:t>
      </w:r>
      <w:r w:rsidR="00F04EDF" w:rsidRPr="00720ACA">
        <w:rPr>
          <w:rStyle w:val="FootnoteReference"/>
          <w:rFonts w:ascii="Arial" w:eastAsia="Times New Roman" w:hAnsi="Arial" w:cs="Arial"/>
          <w:noProof/>
          <w:color w:val="000000"/>
          <w:lang w:val="mk-MK" w:eastAsia="en-GB"/>
        </w:rPr>
        <w:footnoteReference w:id="1"/>
      </w:r>
      <w:r w:rsidRPr="00720ACA">
        <w:rPr>
          <w:rFonts w:ascii="Arial" w:eastAsia="Times New Roman" w:hAnsi="Arial" w:cs="Arial"/>
          <w:noProof/>
          <w:color w:val="000000"/>
          <w:lang w:val="mk-MK" w:eastAsia="en-GB"/>
        </w:rPr>
        <w:t xml:space="preserve"> и Препораката број 198 на МОТ за работниот однос,</w:t>
      </w:r>
      <w:r w:rsidR="002D731C" w:rsidRPr="00720ACA">
        <w:rPr>
          <w:rStyle w:val="FootnoteReference"/>
          <w:rFonts w:ascii="Arial" w:eastAsia="Times New Roman" w:hAnsi="Arial" w:cs="Arial"/>
          <w:noProof/>
          <w:color w:val="000000"/>
          <w:lang w:val="mk-MK" w:eastAsia="en-GB"/>
        </w:rPr>
        <w:footnoteReference w:id="2"/>
      </w:r>
      <w:r w:rsidRPr="00720ACA">
        <w:rPr>
          <w:rFonts w:ascii="Arial" w:eastAsia="Times New Roman" w:hAnsi="Arial" w:cs="Arial"/>
          <w:noProof/>
          <w:color w:val="333333"/>
          <w:shd w:val="clear" w:color="auto" w:fill="FFFFFF"/>
          <w:vertAlign w:val="superscript"/>
          <w:lang w:val="mk-MK" w:eastAsia="en-GB"/>
        </w:rPr>
        <w:t xml:space="preserve"> </w:t>
      </w:r>
      <w:r w:rsidRPr="00720ACA">
        <w:rPr>
          <w:rFonts w:ascii="Arial" w:eastAsia="Times New Roman" w:hAnsi="Arial" w:cs="Arial"/>
          <w:b/>
          <w:bCs/>
          <w:noProof/>
          <w:color w:val="000000"/>
          <w:lang w:val="mk-MK" w:eastAsia="en-GB"/>
        </w:rPr>
        <w:t>дефиницијата да се прошири и да ги опфати и работниците кои немаат договор за вработување, но се во реален работен однос, чие постоење може да се одреди врз основа на поврзани факти.</w:t>
      </w:r>
      <w:r w:rsidRPr="00720ACA">
        <w:rPr>
          <w:rFonts w:ascii="Arial" w:eastAsia="Times New Roman" w:hAnsi="Arial" w:cs="Arial"/>
          <w:noProof/>
          <w:color w:val="000000"/>
          <w:lang w:val="mk-MK" w:eastAsia="en-GB"/>
        </w:rPr>
        <w:t xml:space="preserve"> Такви факти се секојдневното доаѓање на работникот на работното место, исплаќањето плата и/или награди, подреденоста, контролата и однесувањето како да е заснован работен однос врз основа на договор за вработување, без разлика на типот на договор – вклучително устен договор, договори за дело, ангажман, услуги и слично. Во таа насока, ставот на Судот на правдата на ЕУ е дека под „работник“ се подразбира секој што фактички работи, без разлика на правниот основ (видот на договорот) за работниот однос и дали тој воопшто постои. </w:t>
      </w:r>
    </w:p>
    <w:p w14:paraId="5611879A" w14:textId="77777777" w:rsidR="0055228B" w:rsidRPr="00720ACA" w:rsidRDefault="0055228B" w:rsidP="0055228B">
      <w:pPr>
        <w:spacing w:after="0" w:line="240" w:lineRule="auto"/>
        <w:jc w:val="both"/>
        <w:rPr>
          <w:rFonts w:ascii="Arial" w:eastAsia="Times New Roman" w:hAnsi="Arial" w:cs="Arial"/>
          <w:noProof/>
          <w:lang w:val="mk-MK" w:eastAsia="en-GB"/>
        </w:rPr>
      </w:pPr>
    </w:p>
    <w:p w14:paraId="798C07D7" w14:textId="77777777" w:rsidR="0055228B" w:rsidRPr="00720ACA" w:rsidRDefault="0055228B" w:rsidP="0055228B">
      <w:pPr>
        <w:spacing w:after="0" w:line="240" w:lineRule="auto"/>
        <w:ind w:left="720"/>
        <w:jc w:val="both"/>
        <w:rPr>
          <w:rFonts w:ascii="Arial" w:eastAsia="Times New Roman" w:hAnsi="Arial" w:cs="Arial"/>
          <w:noProof/>
          <w:color w:val="000000"/>
          <w:lang w:val="mk-MK" w:eastAsia="en-GB"/>
        </w:rPr>
      </w:pPr>
      <w:r w:rsidRPr="00720ACA">
        <w:rPr>
          <w:rFonts w:ascii="Arial" w:eastAsia="Times New Roman" w:hAnsi="Arial" w:cs="Arial"/>
          <w:noProof/>
          <w:color w:val="000000"/>
          <w:lang w:val="mk-MK" w:eastAsia="en-GB"/>
        </w:rPr>
        <w:t>Таквата законска измена ќе придонесе работниците да бидат вклучени во формалната економија, со постабилни работни места и поефективна правна заштита на нивните работнички права, а пак, работодавачите ќе бидат демотивирани да го злоупотребуваат трудот на работниците. На овој начин, целосно ќе се ефектуираат работничките права, односно правото на пензиско, здравствено и социјално осигурување. Дополнително, законската измена ќе даде целисходен одговор на сивата економија во работните односи, а државниот буџет ќе има корист од тоа.</w:t>
      </w:r>
    </w:p>
    <w:p w14:paraId="0C15CEB3" w14:textId="77777777" w:rsidR="0055228B" w:rsidRPr="00720ACA" w:rsidRDefault="0055228B" w:rsidP="0055228B">
      <w:pPr>
        <w:spacing w:after="0" w:line="240" w:lineRule="auto"/>
        <w:ind w:left="720"/>
        <w:jc w:val="both"/>
        <w:rPr>
          <w:rFonts w:ascii="Arial" w:eastAsia="Times New Roman" w:hAnsi="Arial" w:cs="Arial"/>
          <w:noProof/>
          <w:lang w:val="mk-MK" w:eastAsia="en-GB"/>
        </w:rPr>
      </w:pPr>
    </w:p>
    <w:p w14:paraId="3BA76BCA" w14:textId="77777777" w:rsidR="0055228B" w:rsidRPr="00720ACA" w:rsidRDefault="0055228B" w:rsidP="0055228B">
      <w:pPr>
        <w:pStyle w:val="ListParagraph"/>
        <w:numPr>
          <w:ilvl w:val="0"/>
          <w:numId w:val="16"/>
        </w:numPr>
        <w:spacing w:after="0" w:line="240" w:lineRule="auto"/>
        <w:jc w:val="both"/>
        <w:rPr>
          <w:rFonts w:ascii="Arial" w:eastAsia="Times New Roman" w:hAnsi="Arial" w:cs="Arial"/>
          <w:noProof/>
          <w:lang w:val="mk-MK" w:eastAsia="en-GB"/>
        </w:rPr>
      </w:pPr>
      <w:r w:rsidRPr="00720ACA">
        <w:rPr>
          <w:rFonts w:ascii="Arial" w:eastAsia="Times New Roman" w:hAnsi="Arial" w:cs="Arial"/>
          <w:noProof/>
          <w:color w:val="000000"/>
          <w:lang w:val="mk-MK" w:eastAsia="en-GB"/>
        </w:rPr>
        <w:t>Дефиницијата за забрана за дискриминација сама по себе не значи заштита од дискриминација доколку останатите одредби овозможуваат дискриминаторски политики и дискриминаторски пристап при вработувањето и спроведувањето на работниот однос. Во оваа насока, ЗРО треба да содржи одредби засновани на принципите на еднаквост, еднаква плата и пристап заснован на човекови права, што ќе значи поставување основа за вработување на сите, со обврска за разумно приспособување на работното место на можностите на работниците.</w:t>
      </w:r>
    </w:p>
    <w:p w14:paraId="20DEF828" w14:textId="77777777" w:rsidR="0055228B" w:rsidRPr="00720ACA" w:rsidRDefault="0055228B" w:rsidP="0055228B">
      <w:pPr>
        <w:spacing w:after="0" w:line="240" w:lineRule="auto"/>
        <w:jc w:val="both"/>
        <w:rPr>
          <w:rFonts w:ascii="Arial" w:eastAsia="Times New Roman" w:hAnsi="Arial" w:cs="Arial"/>
          <w:noProof/>
          <w:lang w:val="mk-MK" w:eastAsia="en-GB"/>
        </w:rPr>
      </w:pPr>
    </w:p>
    <w:p w14:paraId="24E2CCDB" w14:textId="4A232529" w:rsidR="0055228B" w:rsidRPr="00720ACA" w:rsidRDefault="0055228B" w:rsidP="0055228B">
      <w:pPr>
        <w:spacing w:after="0" w:line="240" w:lineRule="auto"/>
        <w:ind w:left="720"/>
        <w:jc w:val="both"/>
        <w:rPr>
          <w:rFonts w:ascii="Arial" w:eastAsia="Times New Roman" w:hAnsi="Arial" w:cs="Arial"/>
          <w:noProof/>
          <w:lang w:val="mk-MK" w:eastAsia="en-GB"/>
        </w:rPr>
      </w:pPr>
      <w:r w:rsidRPr="00720ACA">
        <w:rPr>
          <w:rFonts w:ascii="Arial" w:eastAsia="Times New Roman" w:hAnsi="Arial" w:cs="Arial"/>
          <w:noProof/>
          <w:color w:val="000000"/>
          <w:lang w:val="mk-MK" w:eastAsia="en-GB"/>
        </w:rPr>
        <w:t xml:space="preserve">Стереотипите и предрасудите кон различните и маргинализирани групи се присутни и на пазарот на труд. Пазарот на труд не е безбедно ниту пристапно место за луѓето од маргинализираните заедници, па оттука тие се соочуваат со невработеност, а </w:t>
      </w:r>
      <w:r w:rsidRPr="00720ACA">
        <w:rPr>
          <w:rFonts w:ascii="Arial" w:eastAsia="Times New Roman" w:hAnsi="Arial" w:cs="Arial"/>
          <w:noProof/>
          <w:color w:val="000000"/>
          <w:lang w:val="mk-MK" w:eastAsia="en-GB"/>
        </w:rPr>
        <w:lastRenderedPageBreak/>
        <w:t>понатаму и со сиромаштија која носи ризици од останати социјални проблеми. Најчести форми на дискриминација во работните односи се партиските вработувања (неосновано давање предност на дискриминаторска основа); дискриминација врз основа на род (вработување на жени, родов јаз на плати; помали можности за унапредување на жени; дискриминација во контекст на бременост и мајчинство, вработување на постари жени - интерсекциска дискриминација, родова сегрегација на пазар</w:t>
      </w:r>
      <w:r w:rsidR="00E93EB5">
        <w:rPr>
          <w:rFonts w:ascii="Arial" w:eastAsia="Times New Roman" w:hAnsi="Arial" w:cs="Arial"/>
          <w:noProof/>
          <w:color w:val="000000"/>
          <w:lang w:val="mk-MK" w:eastAsia="en-GB"/>
        </w:rPr>
        <w:t>от</w:t>
      </w:r>
      <w:r w:rsidRPr="00720ACA">
        <w:rPr>
          <w:rFonts w:ascii="Arial" w:eastAsia="Times New Roman" w:hAnsi="Arial" w:cs="Arial"/>
          <w:noProof/>
          <w:color w:val="000000"/>
          <w:lang w:val="mk-MK" w:eastAsia="en-GB"/>
        </w:rPr>
        <w:t xml:space="preserve"> на труд; пазар на труд скроен според потребите на мажите т.е. согласно претпоставката дека грижата за семејството треба да се одвива надвор од пазарот на труд); дискриминација на Роми/ки (расна дискриминација); вознемирување на работно место во форма на сексуално вознемирување на жени и ЛГБТИ; дискриминација за вработување на трансродови лица; непристапност на работните места за лица со попреченост и дискриминација и предрасуди кон нив; дискриминација кон лица што употребуваат дроги, односно, лица што се лекуваат од зависност; дискриминација на различни групи пациенти што поради хронични болести и состојби имаат потреба почесто да користат боледување. </w:t>
      </w:r>
    </w:p>
    <w:p w14:paraId="2BD9BB7C" w14:textId="77777777" w:rsidR="0055228B" w:rsidRPr="00720ACA" w:rsidRDefault="0055228B" w:rsidP="0055228B">
      <w:pPr>
        <w:spacing w:after="0" w:line="240" w:lineRule="auto"/>
        <w:jc w:val="both"/>
        <w:rPr>
          <w:rFonts w:ascii="Arial" w:eastAsia="Times New Roman" w:hAnsi="Arial" w:cs="Arial"/>
          <w:noProof/>
          <w:lang w:val="mk-MK" w:eastAsia="en-GB"/>
        </w:rPr>
      </w:pPr>
    </w:p>
    <w:p w14:paraId="5AFA5A4A" w14:textId="77777777" w:rsidR="0055228B" w:rsidRPr="00720ACA" w:rsidRDefault="0055228B" w:rsidP="0055228B">
      <w:pPr>
        <w:spacing w:after="0" w:line="240" w:lineRule="auto"/>
        <w:ind w:left="720"/>
        <w:jc w:val="both"/>
        <w:rPr>
          <w:rFonts w:ascii="Arial" w:eastAsia="Times New Roman" w:hAnsi="Arial" w:cs="Arial"/>
          <w:noProof/>
          <w:lang w:val="mk-MK" w:eastAsia="en-GB"/>
        </w:rPr>
      </w:pPr>
      <w:r w:rsidRPr="00720ACA">
        <w:rPr>
          <w:rFonts w:ascii="Arial" w:eastAsia="Times New Roman" w:hAnsi="Arial" w:cs="Arial"/>
          <w:noProof/>
          <w:color w:val="000000"/>
          <w:lang w:val="mk-MK" w:eastAsia="en-GB"/>
        </w:rPr>
        <w:t xml:space="preserve">Поради неговата важност како системски закон, усогласувањето на ЗРО со Законот за спречување и заштита од дискриминација (ЗСЗД) не смее да се направи преку декларативни одредби што забрануваат дискриминација и со кои само се споменуваат неколкуте нејзини форми. </w:t>
      </w:r>
      <w:r w:rsidRPr="00720ACA">
        <w:rPr>
          <w:rFonts w:ascii="Arial" w:eastAsia="Times New Roman" w:hAnsi="Arial" w:cs="Arial"/>
          <w:b/>
          <w:bCs/>
          <w:noProof/>
          <w:color w:val="000000"/>
          <w:lang w:val="mk-MK" w:eastAsia="en-GB"/>
        </w:rPr>
        <w:t>Во оваа насока, предлагаме ЗРО да се усогласи со ЗСЗД преку екстензивниот модел, што подразбира:</w:t>
      </w:r>
    </w:p>
    <w:p w14:paraId="5166A558" w14:textId="77777777" w:rsidR="0055228B" w:rsidRPr="00720ACA" w:rsidRDefault="0055228B" w:rsidP="0055228B">
      <w:pPr>
        <w:numPr>
          <w:ilvl w:val="0"/>
          <w:numId w:val="17"/>
        </w:numPr>
        <w:spacing w:after="0" w:line="240" w:lineRule="auto"/>
        <w:ind w:left="1440"/>
        <w:jc w:val="both"/>
        <w:textAlignment w:val="baseline"/>
        <w:rPr>
          <w:rFonts w:ascii="Arial" w:eastAsia="Times New Roman" w:hAnsi="Arial" w:cs="Arial"/>
          <w:noProof/>
          <w:color w:val="000000"/>
          <w:lang w:val="mk-MK" w:eastAsia="en-GB"/>
        </w:rPr>
      </w:pPr>
      <w:r w:rsidRPr="00720ACA">
        <w:rPr>
          <w:rFonts w:ascii="Arial" w:eastAsia="Times New Roman" w:hAnsi="Arial" w:cs="Arial"/>
          <w:noProof/>
          <w:color w:val="000000"/>
          <w:lang w:val="mk-MK" w:eastAsia="en-GB"/>
        </w:rPr>
        <w:t>одвојување на „еднаквост и недискриминација“ во посебна глава во законскиот текст;</w:t>
      </w:r>
    </w:p>
    <w:p w14:paraId="69E2005A" w14:textId="586C475D" w:rsidR="0055228B" w:rsidRPr="00720ACA" w:rsidRDefault="0055228B" w:rsidP="0055228B">
      <w:pPr>
        <w:numPr>
          <w:ilvl w:val="0"/>
          <w:numId w:val="17"/>
        </w:numPr>
        <w:spacing w:after="0" w:line="240" w:lineRule="auto"/>
        <w:ind w:left="1440"/>
        <w:jc w:val="both"/>
        <w:textAlignment w:val="baseline"/>
        <w:rPr>
          <w:rFonts w:ascii="Arial" w:eastAsia="Times New Roman" w:hAnsi="Arial" w:cs="Arial"/>
          <w:noProof/>
          <w:color w:val="000000"/>
          <w:lang w:val="mk-MK" w:eastAsia="en-GB"/>
        </w:rPr>
      </w:pPr>
      <w:r w:rsidRPr="00720ACA">
        <w:rPr>
          <w:rFonts w:ascii="Arial" w:eastAsia="Times New Roman" w:hAnsi="Arial" w:cs="Arial"/>
          <w:noProof/>
          <w:color w:val="000000"/>
          <w:lang w:val="mk-MK" w:eastAsia="en-GB"/>
        </w:rPr>
        <w:t>отстранување на одредбите во различните области на работните односи (огласи за вработување, отказ, безбедност на работно место и сл.), што поради несоодветна примена доведуваат до дискриминација и повреда на други права, и внесување т.н. „стражари“; Пример за ваква одредба е отказот без отказен рок за работникот кој внесува, употребува или е под дејство на алкохол и наркотични средства. Не се земаат предвид потребите и здравствените права на работниците кои</w:t>
      </w:r>
      <w:r w:rsidRPr="00720ACA">
        <w:rPr>
          <w:rFonts w:ascii="Arial" w:eastAsia="Times New Roman" w:hAnsi="Arial" w:cs="Arial"/>
          <w:noProof/>
          <w:color w:val="000000"/>
          <w:shd w:val="clear" w:color="auto" w:fill="FFFFFF"/>
          <w:lang w:val="mk-MK" w:eastAsia="en-GB"/>
        </w:rPr>
        <w:t xml:space="preserve"> се лекуваат од зависност и пациенти кои како дел од третман на болести употребуваат наркотични средства препишани и/или администрирани од здравствена установа, со што се овозможува дискриминација на овие групи. Друг пример е барањето</w:t>
      </w:r>
      <w:r w:rsidRPr="00720ACA">
        <w:rPr>
          <w:rFonts w:ascii="Arial" w:eastAsia="Times New Roman" w:hAnsi="Arial" w:cs="Arial"/>
          <w:b/>
          <w:bCs/>
          <w:noProof/>
          <w:color w:val="000000"/>
          <w:lang w:val="mk-MK" w:eastAsia="en-GB"/>
        </w:rPr>
        <w:t xml:space="preserve"> </w:t>
      </w:r>
      <w:r w:rsidRPr="00720ACA">
        <w:rPr>
          <w:rFonts w:ascii="Arial" w:eastAsia="Times New Roman" w:hAnsi="Arial" w:cs="Arial"/>
          <w:noProof/>
          <w:color w:val="000000"/>
          <w:lang w:val="mk-MK" w:eastAsia="en-GB"/>
        </w:rPr>
        <w:t>при засновањето на работниот однос кандидатот да му достави на работодавачот докази за исполнување на условите за вршење на работата помеѓу кои и за болестите или други околности кои можат како било да го оневозможат или суштествено да го ограничат при извршувањето на обврските од работниот однос или можат да го загрозат животот или здравјето на лицата со кои при извршувањето на своите обврски доаѓа во контакт. Оваа одредба може да доведе до дискриминација врз основа на здравствен статус и треба да се промени кон потврда дека лицето нема болест кој</w:t>
      </w:r>
      <w:r w:rsidR="00C74D17">
        <w:rPr>
          <w:rFonts w:ascii="Arial" w:eastAsia="Times New Roman" w:hAnsi="Arial" w:cs="Arial"/>
          <w:noProof/>
          <w:color w:val="000000"/>
          <w:lang w:val="mk-MK" w:eastAsia="en-GB"/>
        </w:rPr>
        <w:t>а</w:t>
      </w:r>
      <w:r w:rsidRPr="00720ACA">
        <w:rPr>
          <w:rFonts w:ascii="Arial" w:eastAsia="Times New Roman" w:hAnsi="Arial" w:cs="Arial"/>
          <w:noProof/>
          <w:color w:val="000000"/>
          <w:lang w:val="mk-MK" w:eastAsia="en-GB"/>
        </w:rPr>
        <w:t xml:space="preserve"> се пренесува преку работен однос или која се влошува поради работниот однос. </w:t>
      </w:r>
    </w:p>
    <w:p w14:paraId="1E345F4E" w14:textId="77777777" w:rsidR="0055228B" w:rsidRPr="00720ACA" w:rsidRDefault="0055228B" w:rsidP="0055228B">
      <w:pPr>
        <w:numPr>
          <w:ilvl w:val="0"/>
          <w:numId w:val="17"/>
        </w:numPr>
        <w:spacing w:after="0" w:line="240" w:lineRule="auto"/>
        <w:ind w:left="1440"/>
        <w:jc w:val="both"/>
        <w:textAlignment w:val="baseline"/>
        <w:rPr>
          <w:rFonts w:ascii="Arial" w:eastAsia="Times New Roman" w:hAnsi="Arial" w:cs="Arial"/>
          <w:noProof/>
          <w:color w:val="000000"/>
          <w:lang w:val="mk-MK" w:eastAsia="en-GB"/>
        </w:rPr>
      </w:pPr>
      <w:r w:rsidRPr="00720ACA">
        <w:rPr>
          <w:rFonts w:ascii="Arial" w:eastAsia="Times New Roman" w:hAnsi="Arial" w:cs="Arial"/>
          <w:noProof/>
          <w:color w:val="000000"/>
          <w:lang w:val="mk-MK" w:eastAsia="en-GB"/>
        </w:rPr>
        <w:t>предвидување обврски за работодавачите, ДИТ, МТСП и другите клучни чинители да преземаат конкретни дејствија за спречување и заштита од дискриминација (воспоставување интерни процедури за пријавување дискриминација; мерки за едукација на работодавачите и работниците за еднаквоста и недискриминацијата; времени афирмативни мерки за маргинализирани заедници и процедура за нивно донесување и примена; и сл.); </w:t>
      </w:r>
    </w:p>
    <w:p w14:paraId="5A38E84F" w14:textId="67C3E483" w:rsidR="0055228B" w:rsidRPr="00720ACA" w:rsidRDefault="0055228B" w:rsidP="0055228B">
      <w:pPr>
        <w:numPr>
          <w:ilvl w:val="0"/>
          <w:numId w:val="17"/>
        </w:numPr>
        <w:spacing w:after="0" w:line="240" w:lineRule="auto"/>
        <w:ind w:left="1440"/>
        <w:jc w:val="both"/>
        <w:textAlignment w:val="baseline"/>
        <w:rPr>
          <w:rFonts w:ascii="Arial" w:eastAsia="Times New Roman" w:hAnsi="Arial" w:cs="Arial"/>
          <w:noProof/>
          <w:color w:val="000000"/>
          <w:lang w:val="mk-MK" w:eastAsia="en-GB"/>
        </w:rPr>
      </w:pPr>
      <w:r w:rsidRPr="00720ACA">
        <w:rPr>
          <w:rFonts w:ascii="Arial" w:eastAsia="Times New Roman" w:hAnsi="Arial" w:cs="Arial"/>
          <w:noProof/>
          <w:color w:val="000000"/>
          <w:lang w:val="mk-MK" w:eastAsia="en-GB"/>
        </w:rPr>
        <w:lastRenderedPageBreak/>
        <w:t>воведување прекршочни одредби за непочитување на членовите со кои се уредува еднаквоста и недискриминацијата, што ќе предвидат пропорционални казни и изречна надлежност на ДИТ да постапува во овие случаи, притоа применувајќи го ЗСЗД во делот на постапката (на пример, за префрлување на товарот на докажување).</w:t>
      </w:r>
    </w:p>
    <w:p w14:paraId="612274AB" w14:textId="77777777" w:rsidR="000451D7" w:rsidRPr="00720ACA" w:rsidRDefault="000451D7" w:rsidP="000451D7">
      <w:pPr>
        <w:spacing w:after="0" w:line="240" w:lineRule="auto"/>
        <w:ind w:left="1440"/>
        <w:jc w:val="both"/>
        <w:textAlignment w:val="baseline"/>
        <w:rPr>
          <w:rFonts w:ascii="Arial" w:eastAsia="Times New Roman" w:hAnsi="Arial" w:cs="Arial"/>
          <w:noProof/>
          <w:color w:val="000000"/>
          <w:lang w:val="mk-MK" w:eastAsia="en-GB"/>
        </w:rPr>
      </w:pPr>
    </w:p>
    <w:p w14:paraId="0C1D3F03" w14:textId="62C2DA51" w:rsidR="00720ACA" w:rsidRPr="00720ACA" w:rsidRDefault="003F3C77" w:rsidP="00720ACA">
      <w:pPr>
        <w:pStyle w:val="ListParagraph"/>
        <w:numPr>
          <w:ilvl w:val="0"/>
          <w:numId w:val="16"/>
        </w:numPr>
        <w:spacing w:after="0" w:line="240" w:lineRule="auto"/>
        <w:ind w:left="360"/>
        <w:jc w:val="both"/>
        <w:textAlignment w:val="baseline"/>
        <w:rPr>
          <w:rFonts w:ascii="Arial" w:eastAsia="Times New Roman" w:hAnsi="Arial" w:cs="Arial"/>
          <w:noProof/>
          <w:color w:val="000000"/>
          <w:lang w:val="mk-MK" w:eastAsia="en-GB"/>
        </w:rPr>
      </w:pPr>
      <w:r w:rsidRPr="00720ACA">
        <w:rPr>
          <w:rFonts w:ascii="Arial" w:eastAsia="Times New Roman" w:hAnsi="Arial" w:cs="Arial"/>
          <w:b/>
          <w:bCs/>
          <w:noProof/>
          <w:color w:val="000000"/>
          <w:lang w:val="mk-MK"/>
        </w:rPr>
        <w:t>Еднаква плата за еднаква работа или работа од еднаква вредност</w:t>
      </w:r>
      <w:r w:rsidR="0055228B" w:rsidRPr="00720ACA">
        <w:rPr>
          <w:rFonts w:ascii="Arial" w:eastAsia="Times New Roman" w:hAnsi="Arial" w:cs="Arial"/>
          <w:b/>
          <w:bCs/>
          <w:noProof/>
          <w:color w:val="000000"/>
          <w:lang w:val="mk-MK"/>
        </w:rPr>
        <w:t xml:space="preserve"> </w:t>
      </w:r>
      <w:r w:rsidR="0055228B" w:rsidRPr="00720ACA">
        <w:rPr>
          <w:rFonts w:ascii="Arial" w:eastAsia="Times New Roman" w:hAnsi="Arial" w:cs="Arial"/>
          <w:noProof/>
          <w:color w:val="000000"/>
          <w:lang w:val="mk-MK" w:eastAsia="en-GB"/>
        </w:rPr>
        <w:t>е прашање на дискриминација сам</w:t>
      </w:r>
      <w:r w:rsidR="00F23BB6">
        <w:rPr>
          <w:rFonts w:ascii="Arial" w:eastAsia="Times New Roman" w:hAnsi="Arial" w:cs="Arial"/>
          <w:noProof/>
          <w:color w:val="000000"/>
          <w:lang w:val="mk-MK" w:eastAsia="en-GB"/>
        </w:rPr>
        <w:t>а</w:t>
      </w:r>
      <w:r w:rsidR="0055228B" w:rsidRPr="00720ACA">
        <w:rPr>
          <w:rFonts w:ascii="Arial" w:eastAsia="Times New Roman" w:hAnsi="Arial" w:cs="Arial"/>
          <w:noProof/>
          <w:color w:val="000000"/>
          <w:lang w:val="mk-MK" w:eastAsia="en-GB"/>
        </w:rPr>
        <w:t xml:space="preserve"> по себе, па оттука одредбите за овој институт треба да се предвидат во гореспоменатата глава „еднаквост и недискриминација“. </w:t>
      </w:r>
      <w:r w:rsidR="00720ACA" w:rsidRPr="000E4CA3">
        <w:rPr>
          <w:rFonts w:ascii="Arial" w:eastAsia="Times New Roman" w:hAnsi="Arial" w:cs="Arial"/>
          <w:color w:val="000000"/>
          <w:lang w:val="mk-MK" w:eastAsia="en-GB"/>
        </w:rPr>
        <w:t xml:space="preserve">Го поздравуваме </w:t>
      </w:r>
      <w:r w:rsidR="0060758F">
        <w:rPr>
          <w:rFonts w:ascii="Arial" w:eastAsia="Times New Roman" w:hAnsi="Arial" w:cs="Arial"/>
          <w:noProof/>
          <w:color w:val="000000"/>
          <w:lang w:val="mk-MK" w:eastAsia="en-GB"/>
        </w:rPr>
        <w:t xml:space="preserve">усогласувањето на член </w:t>
      </w:r>
      <w:r w:rsidR="00720ACA" w:rsidRPr="00720ACA">
        <w:rPr>
          <w:rFonts w:ascii="Arial" w:eastAsia="Times New Roman" w:hAnsi="Arial" w:cs="Arial"/>
          <w:noProof/>
          <w:color w:val="000000"/>
          <w:lang w:val="mk-MK" w:eastAsia="en-GB"/>
        </w:rPr>
        <w:t>111 со Конвенцијата</w:t>
      </w:r>
      <w:r w:rsidR="0060758F">
        <w:rPr>
          <w:rFonts w:ascii="Arial" w:eastAsia="Times New Roman" w:hAnsi="Arial" w:cs="Arial"/>
          <w:noProof/>
          <w:color w:val="000000"/>
          <w:lang w:val="mk-MK" w:eastAsia="en-GB"/>
        </w:rPr>
        <w:t xml:space="preserve"> на МОТ бр.</w:t>
      </w:r>
      <w:r w:rsidR="00720ACA" w:rsidRPr="00720ACA">
        <w:rPr>
          <w:rFonts w:ascii="Arial" w:eastAsia="Times New Roman" w:hAnsi="Arial" w:cs="Arial"/>
          <w:noProof/>
          <w:color w:val="000000"/>
          <w:lang w:val="mk-MK" w:eastAsia="en-GB"/>
        </w:rPr>
        <w:t>100,</w:t>
      </w:r>
      <w:r w:rsidR="0060758F" w:rsidRPr="00720ACA">
        <w:rPr>
          <w:rStyle w:val="FootnoteReference"/>
          <w:rFonts w:ascii="Arial" w:eastAsia="Times New Roman" w:hAnsi="Arial" w:cs="Arial"/>
          <w:noProof/>
          <w:color w:val="000000"/>
          <w:lang w:val="mk-MK" w:eastAsia="en-GB"/>
        </w:rPr>
        <w:footnoteReference w:id="3"/>
      </w:r>
      <w:r w:rsidR="00720ACA" w:rsidRPr="00720ACA">
        <w:rPr>
          <w:rFonts w:ascii="Arial" w:eastAsia="Times New Roman" w:hAnsi="Arial" w:cs="Arial"/>
          <w:noProof/>
          <w:color w:val="000000"/>
          <w:lang w:val="mk-MK" w:eastAsia="en-GB"/>
        </w:rPr>
        <w:t xml:space="preserve"> но сметаме дека за соодветно да се регулира ова право (согласно правото на ЕУ</w:t>
      </w:r>
      <w:r w:rsidR="00720ACA" w:rsidRPr="00720ACA">
        <w:rPr>
          <w:rStyle w:val="FootnoteReference"/>
          <w:rFonts w:ascii="Arial" w:eastAsia="Times New Roman" w:hAnsi="Arial" w:cs="Arial"/>
          <w:noProof/>
          <w:color w:val="000000"/>
          <w:lang w:val="mk-MK" w:eastAsia="en-GB"/>
        </w:rPr>
        <w:footnoteReference w:id="4"/>
      </w:r>
      <w:r w:rsidR="00720ACA" w:rsidRPr="00720ACA">
        <w:rPr>
          <w:rFonts w:ascii="Arial" w:eastAsia="Times New Roman" w:hAnsi="Arial" w:cs="Arial"/>
          <w:noProof/>
          <w:color w:val="000000"/>
          <w:lang w:val="mk-MK" w:eastAsia="en-GB"/>
        </w:rPr>
        <w:t xml:space="preserve"> и Конвенцијата бр.100 на МОТ) потребно е да се додадат одредби кои ќе предвидат:</w:t>
      </w:r>
      <w:r w:rsidR="00720ACA" w:rsidRPr="00720ACA">
        <w:rPr>
          <w:rFonts w:ascii="Arial" w:eastAsia="Times New Roman" w:hAnsi="Arial" w:cs="Arial"/>
          <w:noProof/>
          <w:color w:val="000000"/>
          <w:lang w:val="mk-MK"/>
        </w:rPr>
        <w:t xml:space="preserve"> </w:t>
      </w:r>
    </w:p>
    <w:p w14:paraId="5907163A" w14:textId="34957410" w:rsidR="00720ACA" w:rsidRPr="0055228B" w:rsidRDefault="00720ACA" w:rsidP="00720ACA">
      <w:pPr>
        <w:pStyle w:val="ListParagraph"/>
        <w:numPr>
          <w:ilvl w:val="0"/>
          <w:numId w:val="15"/>
        </w:numPr>
        <w:spacing w:after="0" w:line="240" w:lineRule="auto"/>
        <w:jc w:val="both"/>
        <w:textAlignment w:val="baseline"/>
        <w:rPr>
          <w:rFonts w:ascii="Arial" w:eastAsia="Times New Roman" w:hAnsi="Arial" w:cs="Arial"/>
          <w:noProof/>
          <w:color w:val="000000"/>
          <w:lang w:val="mk-MK"/>
        </w:rPr>
      </w:pPr>
      <w:r w:rsidRPr="0055228B">
        <w:rPr>
          <w:rFonts w:ascii="Arial" w:eastAsia="Times New Roman" w:hAnsi="Arial" w:cs="Arial"/>
          <w:noProof/>
          <w:color w:val="000000"/>
          <w:lang w:val="mk-MK"/>
        </w:rPr>
        <w:t>обврска за транспарентност на плати (секој работодавач да има обврска да ги информира вработените за сечија плата, платите по позиции да бидат лесно достапни (на пример објавени на веб, огласни табли и сл); обврска за работодавачи</w:t>
      </w:r>
      <w:r>
        <w:rPr>
          <w:rFonts w:ascii="Arial" w:eastAsia="Times New Roman" w:hAnsi="Arial" w:cs="Arial"/>
          <w:noProof/>
          <w:color w:val="000000"/>
          <w:lang w:val="mk-MK"/>
        </w:rPr>
        <w:t>те</w:t>
      </w:r>
      <w:r w:rsidRPr="0055228B">
        <w:rPr>
          <w:rFonts w:ascii="Arial" w:eastAsia="Times New Roman" w:hAnsi="Arial" w:cs="Arial"/>
          <w:noProof/>
          <w:color w:val="000000"/>
          <w:lang w:val="mk-MK"/>
        </w:rPr>
        <w:t xml:space="preserve"> еднаш годишно да </w:t>
      </w:r>
      <w:r>
        <w:rPr>
          <w:rFonts w:ascii="Arial" w:eastAsia="Times New Roman" w:hAnsi="Arial" w:cs="Arial"/>
          <w:noProof/>
          <w:color w:val="000000"/>
          <w:lang w:val="mk-MK"/>
        </w:rPr>
        <w:t>спровед</w:t>
      </w:r>
      <w:r w:rsidR="004808B8">
        <w:rPr>
          <w:rFonts w:ascii="Arial" w:eastAsia="Times New Roman" w:hAnsi="Arial" w:cs="Arial"/>
          <w:noProof/>
          <w:color w:val="000000"/>
          <w:lang w:val="mk-MK"/>
        </w:rPr>
        <w:t>уваат</w:t>
      </w:r>
      <w:r>
        <w:rPr>
          <w:rFonts w:ascii="Arial" w:eastAsia="Times New Roman" w:hAnsi="Arial" w:cs="Arial"/>
          <w:noProof/>
          <w:color w:val="000000"/>
          <w:lang w:val="mk-MK"/>
        </w:rPr>
        <w:t xml:space="preserve"> објективна евалуација на работното место и </w:t>
      </w:r>
      <w:r w:rsidRPr="0055228B">
        <w:rPr>
          <w:rFonts w:ascii="Arial" w:eastAsia="Times New Roman" w:hAnsi="Arial" w:cs="Arial"/>
          <w:noProof/>
          <w:color w:val="000000"/>
          <w:lang w:val="mk-MK"/>
        </w:rPr>
        <w:t>анализ</w:t>
      </w:r>
      <w:r>
        <w:rPr>
          <w:rFonts w:ascii="Arial" w:eastAsia="Times New Roman" w:hAnsi="Arial" w:cs="Arial"/>
          <w:noProof/>
          <w:color w:val="000000"/>
          <w:lang w:val="mk-MK"/>
        </w:rPr>
        <w:t>а на</w:t>
      </w:r>
      <w:r w:rsidRPr="0055228B">
        <w:rPr>
          <w:rFonts w:ascii="Arial" w:eastAsia="Times New Roman" w:hAnsi="Arial" w:cs="Arial"/>
          <w:noProof/>
          <w:color w:val="000000"/>
          <w:lang w:val="mk-MK"/>
        </w:rPr>
        <w:t xml:space="preserve"> податоци</w:t>
      </w:r>
      <w:r>
        <w:rPr>
          <w:rFonts w:ascii="Arial" w:eastAsia="Times New Roman" w:hAnsi="Arial" w:cs="Arial"/>
          <w:noProof/>
          <w:color w:val="000000"/>
          <w:lang w:val="mk-MK"/>
        </w:rPr>
        <w:t xml:space="preserve">те, </w:t>
      </w:r>
      <w:r w:rsidR="004808B8">
        <w:rPr>
          <w:rFonts w:ascii="Arial" w:eastAsia="Times New Roman" w:hAnsi="Arial" w:cs="Arial"/>
          <w:noProof/>
          <w:color w:val="000000"/>
          <w:lang w:val="mk-MK"/>
        </w:rPr>
        <w:t xml:space="preserve">обврска за </w:t>
      </w:r>
      <w:r>
        <w:rPr>
          <w:rFonts w:ascii="Arial" w:eastAsia="Times New Roman" w:hAnsi="Arial" w:cs="Arial"/>
          <w:noProof/>
          <w:color w:val="000000"/>
          <w:lang w:val="mk-MK"/>
        </w:rPr>
        <w:t>детекција на јазот во</w:t>
      </w:r>
      <w:r w:rsidRPr="0055228B">
        <w:rPr>
          <w:rFonts w:ascii="Arial" w:eastAsia="Times New Roman" w:hAnsi="Arial" w:cs="Arial"/>
          <w:noProof/>
          <w:color w:val="000000"/>
          <w:lang w:val="mk-MK"/>
        </w:rPr>
        <w:t xml:space="preserve"> еднаквост на плати согласно големина</w:t>
      </w:r>
      <w:r w:rsidR="004808B8">
        <w:rPr>
          <w:rFonts w:ascii="Arial" w:eastAsia="Times New Roman" w:hAnsi="Arial" w:cs="Arial"/>
          <w:noProof/>
          <w:color w:val="000000"/>
          <w:lang w:val="mk-MK"/>
        </w:rPr>
        <w:t>та</w:t>
      </w:r>
      <w:r w:rsidRPr="0055228B">
        <w:rPr>
          <w:rFonts w:ascii="Arial" w:eastAsia="Times New Roman" w:hAnsi="Arial" w:cs="Arial"/>
          <w:noProof/>
          <w:color w:val="000000"/>
          <w:lang w:val="mk-MK"/>
        </w:rPr>
        <w:t xml:space="preserve"> на работодавач</w:t>
      </w:r>
      <w:r w:rsidR="004808B8">
        <w:rPr>
          <w:rFonts w:ascii="Arial" w:eastAsia="Times New Roman" w:hAnsi="Arial" w:cs="Arial"/>
          <w:noProof/>
          <w:color w:val="000000"/>
          <w:lang w:val="mk-MK"/>
        </w:rPr>
        <w:t>от</w:t>
      </w:r>
      <w:r>
        <w:rPr>
          <w:rFonts w:ascii="Arial" w:eastAsia="Times New Roman" w:hAnsi="Arial" w:cs="Arial"/>
          <w:noProof/>
          <w:color w:val="000000"/>
          <w:lang w:val="mk-MK"/>
        </w:rPr>
        <w:t xml:space="preserve">, како и </w:t>
      </w:r>
      <w:r w:rsidR="004808B8">
        <w:rPr>
          <w:rFonts w:ascii="Arial" w:eastAsia="Times New Roman" w:hAnsi="Arial" w:cs="Arial"/>
          <w:noProof/>
          <w:color w:val="000000"/>
          <w:lang w:val="mk-MK"/>
        </w:rPr>
        <w:t xml:space="preserve">обврска </w:t>
      </w:r>
      <w:r w:rsidR="006355B2">
        <w:rPr>
          <w:rFonts w:ascii="Arial" w:eastAsia="Times New Roman" w:hAnsi="Arial" w:cs="Arial"/>
          <w:noProof/>
          <w:color w:val="000000"/>
          <w:lang w:val="mk-MK"/>
        </w:rPr>
        <w:t>да се</w:t>
      </w:r>
      <w:r>
        <w:rPr>
          <w:rFonts w:ascii="Arial" w:eastAsia="Times New Roman" w:hAnsi="Arial" w:cs="Arial"/>
          <w:noProof/>
          <w:color w:val="000000"/>
          <w:lang w:val="mk-MK"/>
        </w:rPr>
        <w:t xml:space="preserve"> презема</w:t>
      </w:r>
      <w:r w:rsidR="004808B8">
        <w:rPr>
          <w:rFonts w:ascii="Arial" w:eastAsia="Times New Roman" w:hAnsi="Arial" w:cs="Arial"/>
          <w:noProof/>
          <w:color w:val="000000"/>
          <w:lang w:val="mk-MK"/>
        </w:rPr>
        <w:t>а</w:t>
      </w:r>
      <w:r>
        <w:rPr>
          <w:rFonts w:ascii="Arial" w:eastAsia="Times New Roman" w:hAnsi="Arial" w:cs="Arial"/>
          <w:noProof/>
          <w:color w:val="000000"/>
          <w:lang w:val="mk-MK"/>
        </w:rPr>
        <w:t>т мерки за намалување на јазот де</w:t>
      </w:r>
      <w:r w:rsidR="004808B8">
        <w:rPr>
          <w:rFonts w:ascii="Arial" w:eastAsia="Times New Roman" w:hAnsi="Arial" w:cs="Arial"/>
          <w:noProof/>
          <w:color w:val="000000"/>
          <w:lang w:val="mk-MK"/>
        </w:rPr>
        <w:t xml:space="preserve">тектиран со анализата, да </w:t>
      </w:r>
      <w:r w:rsidR="00D3606E">
        <w:rPr>
          <w:rFonts w:ascii="Arial" w:eastAsia="Times New Roman" w:hAnsi="Arial" w:cs="Arial"/>
          <w:noProof/>
          <w:color w:val="000000"/>
          <w:lang w:val="mk-MK"/>
        </w:rPr>
        <w:t xml:space="preserve">се </w:t>
      </w:r>
      <w:r w:rsidR="004808B8">
        <w:rPr>
          <w:rFonts w:ascii="Arial" w:eastAsia="Times New Roman" w:hAnsi="Arial" w:cs="Arial"/>
          <w:noProof/>
          <w:color w:val="000000"/>
          <w:lang w:val="mk-MK"/>
        </w:rPr>
        <w:t>објавуваат</w:t>
      </w:r>
      <w:r>
        <w:rPr>
          <w:rFonts w:ascii="Arial" w:eastAsia="Times New Roman" w:hAnsi="Arial" w:cs="Arial"/>
          <w:noProof/>
          <w:color w:val="000000"/>
          <w:lang w:val="mk-MK"/>
        </w:rPr>
        <w:t xml:space="preserve"> </w:t>
      </w:r>
      <w:r w:rsidR="00D3606E">
        <w:rPr>
          <w:rFonts w:ascii="Arial" w:eastAsia="Times New Roman" w:hAnsi="Arial" w:cs="Arial"/>
          <w:noProof/>
          <w:color w:val="000000"/>
          <w:lang w:val="mk-MK"/>
        </w:rPr>
        <w:t>јавно</w:t>
      </w:r>
      <w:r w:rsidRPr="0055228B">
        <w:rPr>
          <w:rFonts w:ascii="Arial" w:eastAsia="Times New Roman" w:hAnsi="Arial" w:cs="Arial"/>
          <w:noProof/>
          <w:color w:val="000000"/>
          <w:lang w:val="mk-MK"/>
        </w:rPr>
        <w:t xml:space="preserve"> </w:t>
      </w:r>
      <w:r>
        <w:rPr>
          <w:rFonts w:ascii="Arial" w:eastAsia="Times New Roman" w:hAnsi="Arial" w:cs="Arial"/>
          <w:noProof/>
          <w:color w:val="000000"/>
          <w:lang w:val="mk-MK"/>
        </w:rPr>
        <w:t>мерки</w:t>
      </w:r>
      <w:r w:rsidR="00D3606E">
        <w:rPr>
          <w:rFonts w:ascii="Arial" w:eastAsia="Times New Roman" w:hAnsi="Arial" w:cs="Arial"/>
          <w:noProof/>
          <w:color w:val="000000"/>
          <w:lang w:val="mk-MK"/>
        </w:rPr>
        <w:t>те</w:t>
      </w:r>
      <w:r>
        <w:rPr>
          <w:rFonts w:ascii="Arial" w:eastAsia="Times New Roman" w:hAnsi="Arial" w:cs="Arial"/>
          <w:noProof/>
          <w:color w:val="000000"/>
          <w:lang w:val="mk-MK"/>
        </w:rPr>
        <w:t xml:space="preserve"> кои </w:t>
      </w:r>
      <w:r w:rsidR="00D3606E">
        <w:rPr>
          <w:rFonts w:ascii="Arial" w:eastAsia="Times New Roman" w:hAnsi="Arial" w:cs="Arial"/>
          <w:noProof/>
          <w:color w:val="000000"/>
          <w:lang w:val="mk-MK"/>
        </w:rPr>
        <w:t xml:space="preserve">е </w:t>
      </w:r>
      <w:r>
        <w:rPr>
          <w:rFonts w:ascii="Arial" w:eastAsia="Times New Roman" w:hAnsi="Arial" w:cs="Arial"/>
          <w:noProof/>
          <w:color w:val="000000"/>
          <w:lang w:val="mk-MK"/>
        </w:rPr>
        <w:t>планира</w:t>
      </w:r>
      <w:r w:rsidR="00D3606E">
        <w:rPr>
          <w:rFonts w:ascii="Arial" w:eastAsia="Times New Roman" w:hAnsi="Arial" w:cs="Arial"/>
          <w:noProof/>
          <w:color w:val="000000"/>
          <w:lang w:val="mk-MK"/>
        </w:rPr>
        <w:t>но</w:t>
      </w:r>
      <w:r>
        <w:rPr>
          <w:rFonts w:ascii="Arial" w:eastAsia="Times New Roman" w:hAnsi="Arial" w:cs="Arial"/>
          <w:noProof/>
          <w:color w:val="000000"/>
          <w:lang w:val="mk-MK"/>
        </w:rPr>
        <w:t xml:space="preserve"> да </w:t>
      </w:r>
      <w:r w:rsidR="00D3606E">
        <w:rPr>
          <w:rFonts w:ascii="Arial" w:eastAsia="Times New Roman" w:hAnsi="Arial" w:cs="Arial"/>
          <w:noProof/>
          <w:color w:val="000000"/>
          <w:lang w:val="mk-MK"/>
        </w:rPr>
        <w:t>се</w:t>
      </w:r>
      <w:r>
        <w:rPr>
          <w:rFonts w:ascii="Arial" w:eastAsia="Times New Roman" w:hAnsi="Arial" w:cs="Arial"/>
          <w:noProof/>
          <w:color w:val="000000"/>
          <w:lang w:val="mk-MK"/>
        </w:rPr>
        <w:t xml:space="preserve"> преземат и</w:t>
      </w:r>
      <w:r w:rsidRPr="0055228B">
        <w:rPr>
          <w:rFonts w:ascii="Arial" w:eastAsia="Times New Roman" w:hAnsi="Arial" w:cs="Arial"/>
          <w:noProof/>
          <w:color w:val="000000"/>
          <w:lang w:val="mk-MK"/>
        </w:rPr>
        <w:t xml:space="preserve"> </w:t>
      </w:r>
      <w:r>
        <w:rPr>
          <w:rFonts w:ascii="Arial" w:eastAsia="Times New Roman" w:hAnsi="Arial" w:cs="Arial"/>
          <w:noProof/>
          <w:color w:val="000000"/>
          <w:lang w:val="mk-MK"/>
        </w:rPr>
        <w:t>д</w:t>
      </w:r>
      <w:r w:rsidRPr="0055228B">
        <w:rPr>
          <w:rFonts w:ascii="Arial" w:eastAsia="Times New Roman" w:hAnsi="Arial" w:cs="Arial"/>
          <w:noProof/>
          <w:color w:val="000000"/>
          <w:lang w:val="mk-MK"/>
        </w:rPr>
        <w:t xml:space="preserve">а </w:t>
      </w:r>
      <w:r w:rsidR="00D3606E">
        <w:rPr>
          <w:rFonts w:ascii="Arial" w:eastAsia="Times New Roman" w:hAnsi="Arial" w:cs="Arial"/>
          <w:noProof/>
          <w:color w:val="000000"/>
          <w:lang w:val="mk-MK"/>
        </w:rPr>
        <w:t>се известува до</w:t>
      </w:r>
      <w:r w:rsidRPr="0055228B">
        <w:rPr>
          <w:rFonts w:ascii="Arial" w:eastAsia="Times New Roman" w:hAnsi="Arial" w:cs="Arial"/>
          <w:noProof/>
          <w:color w:val="000000"/>
          <w:lang w:val="mk-MK"/>
        </w:rPr>
        <w:t xml:space="preserve"> ДИТ;  </w:t>
      </w:r>
    </w:p>
    <w:p w14:paraId="7FEC9B7D" w14:textId="05B02F99" w:rsidR="00720ACA" w:rsidRPr="0055228B" w:rsidRDefault="00720ACA" w:rsidP="00720ACA">
      <w:pPr>
        <w:pStyle w:val="ListParagraph"/>
        <w:numPr>
          <w:ilvl w:val="0"/>
          <w:numId w:val="15"/>
        </w:numPr>
        <w:spacing w:after="0" w:line="240" w:lineRule="auto"/>
        <w:jc w:val="both"/>
        <w:textAlignment w:val="baseline"/>
        <w:rPr>
          <w:rFonts w:ascii="Arial" w:eastAsia="Times New Roman" w:hAnsi="Arial" w:cs="Arial"/>
          <w:noProof/>
          <w:color w:val="000000"/>
          <w:lang w:val="mk-MK"/>
        </w:rPr>
      </w:pPr>
      <w:r w:rsidRPr="0055228B">
        <w:rPr>
          <w:rFonts w:ascii="Arial" w:eastAsia="Times New Roman" w:hAnsi="Arial" w:cs="Arial"/>
          <w:noProof/>
          <w:color w:val="000000"/>
          <w:lang w:val="mk-MK"/>
        </w:rPr>
        <w:t>во дефиницијата за плата</w:t>
      </w:r>
      <w:r w:rsidR="00F222C8">
        <w:rPr>
          <w:rFonts w:ascii="Arial" w:eastAsia="Times New Roman" w:hAnsi="Arial" w:cs="Arial"/>
          <w:noProof/>
          <w:color w:val="000000"/>
          <w:lang w:val="mk-MK"/>
        </w:rPr>
        <w:t>,</w:t>
      </w:r>
      <w:r w:rsidRPr="0055228B">
        <w:rPr>
          <w:rFonts w:ascii="Arial" w:eastAsia="Times New Roman" w:hAnsi="Arial" w:cs="Arial"/>
          <w:noProof/>
          <w:color w:val="000000"/>
          <w:lang w:val="mk-MK"/>
        </w:rPr>
        <w:t xml:space="preserve"> освен плаќањето во пари треба да се опфатат и сите видови осигурување, плаќања во натура и други видови поволности (превоз, храна и слично); </w:t>
      </w:r>
    </w:p>
    <w:p w14:paraId="3316043F" w14:textId="77777777" w:rsidR="00720ACA" w:rsidRPr="0055228B" w:rsidRDefault="00720ACA" w:rsidP="00720ACA">
      <w:pPr>
        <w:pStyle w:val="ListParagraph"/>
        <w:numPr>
          <w:ilvl w:val="0"/>
          <w:numId w:val="15"/>
        </w:numPr>
        <w:spacing w:after="0" w:line="240" w:lineRule="auto"/>
        <w:jc w:val="both"/>
        <w:textAlignment w:val="baseline"/>
        <w:rPr>
          <w:rFonts w:ascii="Arial" w:eastAsia="Times New Roman" w:hAnsi="Arial" w:cs="Arial"/>
          <w:noProof/>
          <w:color w:val="000000"/>
          <w:lang w:val="mk-MK"/>
        </w:rPr>
      </w:pPr>
      <w:r w:rsidRPr="0055228B">
        <w:rPr>
          <w:rFonts w:ascii="Arial" w:eastAsia="Times New Roman" w:hAnsi="Arial" w:cs="Arial"/>
          <w:noProof/>
          <w:color w:val="000000"/>
          <w:lang w:val="mk-MK"/>
        </w:rPr>
        <w:t xml:space="preserve">правото следува на секој што фактички работи, а не на оној што има договор за вработување; </w:t>
      </w:r>
    </w:p>
    <w:p w14:paraId="6EADA5D9" w14:textId="43FEF9E4" w:rsidR="00720ACA" w:rsidRPr="0055228B" w:rsidRDefault="00720ACA" w:rsidP="00720ACA">
      <w:pPr>
        <w:pStyle w:val="ListParagraph"/>
        <w:numPr>
          <w:ilvl w:val="0"/>
          <w:numId w:val="15"/>
        </w:numPr>
        <w:spacing w:after="0" w:line="240" w:lineRule="auto"/>
        <w:jc w:val="both"/>
        <w:textAlignment w:val="baseline"/>
        <w:rPr>
          <w:rFonts w:ascii="Arial" w:eastAsia="Times New Roman" w:hAnsi="Arial" w:cs="Arial"/>
          <w:noProof/>
          <w:color w:val="000000"/>
          <w:lang w:val="mk-MK"/>
        </w:rPr>
      </w:pPr>
      <w:r w:rsidRPr="0055228B">
        <w:rPr>
          <w:rFonts w:ascii="Arial" w:eastAsia="Times New Roman" w:hAnsi="Arial" w:cs="Arial"/>
          <w:noProof/>
          <w:color w:val="000000"/>
          <w:lang w:val="mk-MK"/>
        </w:rPr>
        <w:t xml:space="preserve">да се предвиди подзаконски акт кој ќе понуди методологија за </w:t>
      </w:r>
      <w:r>
        <w:rPr>
          <w:rFonts w:ascii="Arial" w:eastAsia="Times New Roman" w:hAnsi="Arial" w:cs="Arial"/>
          <w:noProof/>
          <w:color w:val="000000"/>
          <w:lang w:val="mk-MK"/>
        </w:rPr>
        <w:t>објективна евалуација на работно место што МОТ ја има развиено,</w:t>
      </w:r>
      <w:r>
        <w:rPr>
          <w:rStyle w:val="FootnoteReference"/>
          <w:rFonts w:ascii="Arial" w:eastAsia="Times New Roman" w:hAnsi="Arial" w:cs="Arial"/>
          <w:noProof/>
          <w:color w:val="000000"/>
          <w:lang w:val="mk-MK"/>
        </w:rPr>
        <w:footnoteReference w:id="5"/>
      </w:r>
      <w:r>
        <w:rPr>
          <w:rFonts w:ascii="Arial" w:eastAsia="Times New Roman" w:hAnsi="Arial" w:cs="Arial"/>
          <w:noProof/>
          <w:color w:val="000000"/>
          <w:lang w:val="mk-MK"/>
        </w:rPr>
        <w:t xml:space="preserve"> и која е клучна за детекција на јазот во плаќањето и </w:t>
      </w:r>
      <w:r w:rsidRPr="0055228B">
        <w:rPr>
          <w:rFonts w:ascii="Arial" w:eastAsia="Times New Roman" w:hAnsi="Arial" w:cs="Arial"/>
          <w:noProof/>
          <w:color w:val="000000"/>
          <w:lang w:val="mk-MK"/>
        </w:rPr>
        <w:t>пресметување на еднаква плата за еднаква работа или работа со иста вредност</w:t>
      </w:r>
      <w:r>
        <w:rPr>
          <w:rFonts w:ascii="Arial" w:eastAsia="Times New Roman" w:hAnsi="Arial" w:cs="Arial"/>
          <w:noProof/>
          <w:color w:val="000000"/>
          <w:lang w:val="mk-MK"/>
        </w:rPr>
        <w:t>. Потребно е регулирање на надлежност</w:t>
      </w:r>
      <w:r w:rsidR="00F64B38">
        <w:rPr>
          <w:rFonts w:ascii="Arial" w:eastAsia="Times New Roman" w:hAnsi="Arial" w:cs="Arial"/>
          <w:noProof/>
          <w:color w:val="000000"/>
          <w:lang w:val="mk-MK"/>
        </w:rPr>
        <w:t>а</w:t>
      </w:r>
      <w:r>
        <w:rPr>
          <w:rFonts w:ascii="Arial" w:eastAsia="Times New Roman" w:hAnsi="Arial" w:cs="Arial"/>
          <w:noProof/>
          <w:color w:val="000000"/>
          <w:lang w:val="mk-MK"/>
        </w:rPr>
        <w:t xml:space="preserve"> на</w:t>
      </w:r>
      <w:r w:rsidRPr="0055228B">
        <w:rPr>
          <w:rFonts w:ascii="Arial" w:eastAsia="Times New Roman" w:hAnsi="Arial" w:cs="Arial"/>
          <w:noProof/>
          <w:color w:val="000000"/>
          <w:lang w:val="mk-MK"/>
        </w:rPr>
        <w:t xml:space="preserve"> ДИТ за надзор</w:t>
      </w:r>
      <w:r>
        <w:rPr>
          <w:rFonts w:ascii="Arial" w:eastAsia="Times New Roman" w:hAnsi="Arial" w:cs="Arial"/>
          <w:noProof/>
          <w:color w:val="000000"/>
          <w:lang w:val="mk-MK"/>
        </w:rPr>
        <w:t xml:space="preserve"> на примената</w:t>
      </w:r>
      <w:r w:rsidR="0010599E">
        <w:rPr>
          <w:rFonts w:ascii="Arial" w:eastAsia="Times New Roman" w:hAnsi="Arial" w:cs="Arial"/>
          <w:noProof/>
          <w:color w:val="000000"/>
          <w:lang w:val="mk-MK"/>
        </w:rPr>
        <w:t>,</w:t>
      </w:r>
      <w:r>
        <w:rPr>
          <w:rFonts w:ascii="Arial" w:eastAsia="Times New Roman" w:hAnsi="Arial" w:cs="Arial"/>
          <w:noProof/>
          <w:color w:val="000000"/>
          <w:lang w:val="mk-MK"/>
        </w:rPr>
        <w:t xml:space="preserve"> и обука за лицата кои раководат со човечки ресурси за примена на Методологијата. Непочитувањето треба да е казниво за што треба да се предвиди и градење свест и знаење кај</w:t>
      </w:r>
      <w:r w:rsidRPr="0055228B">
        <w:rPr>
          <w:rFonts w:ascii="Arial" w:eastAsia="Times New Roman" w:hAnsi="Arial" w:cs="Arial"/>
          <w:noProof/>
          <w:color w:val="000000"/>
          <w:lang w:val="mk-MK"/>
        </w:rPr>
        <w:t xml:space="preserve"> судови</w:t>
      </w:r>
      <w:r>
        <w:rPr>
          <w:rFonts w:ascii="Arial" w:eastAsia="Times New Roman" w:hAnsi="Arial" w:cs="Arial"/>
          <w:noProof/>
          <w:color w:val="000000"/>
          <w:lang w:val="mk-MK"/>
        </w:rPr>
        <w:t>те за да се овозможи ефективна примена на обврската</w:t>
      </w:r>
      <w:r w:rsidRPr="0055228B">
        <w:rPr>
          <w:rFonts w:ascii="Arial" w:eastAsia="Times New Roman" w:hAnsi="Arial" w:cs="Arial"/>
          <w:noProof/>
          <w:color w:val="000000"/>
          <w:lang w:val="mk-MK"/>
        </w:rPr>
        <w:t xml:space="preserve"> од страна на работодавачите; </w:t>
      </w:r>
    </w:p>
    <w:p w14:paraId="16C0622E" w14:textId="77777777" w:rsidR="00720ACA" w:rsidRPr="0055228B" w:rsidRDefault="00720ACA" w:rsidP="00720ACA">
      <w:pPr>
        <w:pStyle w:val="ListParagraph"/>
        <w:numPr>
          <w:ilvl w:val="0"/>
          <w:numId w:val="15"/>
        </w:numPr>
        <w:spacing w:after="0" w:line="240" w:lineRule="auto"/>
        <w:jc w:val="both"/>
        <w:textAlignment w:val="baseline"/>
        <w:rPr>
          <w:rFonts w:ascii="Arial" w:eastAsia="Times New Roman" w:hAnsi="Arial" w:cs="Arial"/>
          <w:noProof/>
          <w:color w:val="000000"/>
          <w:lang w:val="mk-MK"/>
        </w:rPr>
      </w:pPr>
      <w:r w:rsidRPr="0055228B">
        <w:rPr>
          <w:rFonts w:ascii="Arial" w:eastAsia="Times New Roman" w:hAnsi="Arial" w:cs="Arial"/>
          <w:noProof/>
          <w:color w:val="000000"/>
          <w:lang w:val="mk-MK"/>
        </w:rPr>
        <w:t>како форма на дискриминација во случај на докажување треба да важат сите институти од ЗСЗД (товар на докажување, статистички податоци и сл);</w:t>
      </w:r>
    </w:p>
    <w:p w14:paraId="6D834B5C" w14:textId="5353339E" w:rsidR="00720ACA" w:rsidRPr="0055228B" w:rsidRDefault="00720ACA" w:rsidP="00720ACA">
      <w:pPr>
        <w:pStyle w:val="ListParagraph"/>
        <w:numPr>
          <w:ilvl w:val="0"/>
          <w:numId w:val="15"/>
        </w:numPr>
        <w:spacing w:after="0" w:line="240" w:lineRule="auto"/>
        <w:jc w:val="both"/>
        <w:textAlignment w:val="baseline"/>
        <w:rPr>
          <w:rFonts w:ascii="Arial" w:eastAsia="Times New Roman" w:hAnsi="Arial" w:cs="Arial"/>
          <w:noProof/>
          <w:color w:val="000000"/>
          <w:lang w:val="mk-MK"/>
        </w:rPr>
      </w:pPr>
      <w:r w:rsidRPr="0055228B">
        <w:rPr>
          <w:rFonts w:ascii="Arial" w:eastAsia="Times New Roman" w:hAnsi="Arial" w:cs="Arial"/>
          <w:noProof/>
          <w:color w:val="000000"/>
          <w:lang w:val="mk-MK"/>
        </w:rPr>
        <w:t>со закон</w:t>
      </w:r>
      <w:r w:rsidR="00397779">
        <w:rPr>
          <w:rFonts w:ascii="Arial" w:eastAsia="Times New Roman" w:hAnsi="Arial" w:cs="Arial"/>
          <w:noProof/>
          <w:color w:val="000000"/>
          <w:lang w:val="mk-MK"/>
        </w:rPr>
        <w:t>от</w:t>
      </w:r>
      <w:r w:rsidRPr="0055228B">
        <w:rPr>
          <w:rFonts w:ascii="Arial" w:eastAsia="Times New Roman" w:hAnsi="Arial" w:cs="Arial"/>
          <w:noProof/>
          <w:color w:val="000000"/>
          <w:lang w:val="mk-MK"/>
        </w:rPr>
        <w:t xml:space="preserve"> </w:t>
      </w:r>
      <w:r w:rsidR="006A39C2">
        <w:rPr>
          <w:rFonts w:ascii="Arial" w:eastAsia="Times New Roman" w:hAnsi="Arial" w:cs="Arial"/>
          <w:noProof/>
          <w:color w:val="000000"/>
          <w:lang w:val="mk-MK"/>
        </w:rPr>
        <w:t xml:space="preserve">треба </w:t>
      </w:r>
      <w:r w:rsidRPr="0055228B">
        <w:rPr>
          <w:rFonts w:ascii="Arial" w:eastAsia="Times New Roman" w:hAnsi="Arial" w:cs="Arial"/>
          <w:noProof/>
          <w:color w:val="000000"/>
          <w:lang w:val="mk-MK"/>
        </w:rPr>
        <w:t xml:space="preserve">да се определи каков компаратор е можен согласно практиката на СПЕУ. Бидејќи станува збор за дискриминација важно е во однос на кого треба да </w:t>
      </w:r>
      <w:r w:rsidR="00B20B6E">
        <w:rPr>
          <w:rFonts w:ascii="Arial" w:eastAsia="Times New Roman" w:hAnsi="Arial" w:cs="Arial"/>
          <w:noProof/>
          <w:color w:val="000000"/>
          <w:lang w:val="mk-MK"/>
        </w:rPr>
        <w:t>се добие</w:t>
      </w:r>
      <w:r w:rsidRPr="0055228B">
        <w:rPr>
          <w:rFonts w:ascii="Arial" w:eastAsia="Times New Roman" w:hAnsi="Arial" w:cs="Arial"/>
          <w:noProof/>
          <w:color w:val="000000"/>
          <w:lang w:val="mk-MK"/>
        </w:rPr>
        <w:t xml:space="preserve"> еднаква плата. Компараторот е најдобро да се најде во истата компанија, но </w:t>
      </w:r>
      <w:r w:rsidR="009F420E">
        <w:rPr>
          <w:rFonts w:ascii="Arial" w:eastAsia="Times New Roman" w:hAnsi="Arial" w:cs="Arial"/>
          <w:noProof/>
          <w:color w:val="000000"/>
          <w:lang w:val="mk-MK"/>
        </w:rPr>
        <w:t>тоа ги изостава</w:t>
      </w:r>
      <w:r w:rsidRPr="0055228B">
        <w:rPr>
          <w:rFonts w:ascii="Arial" w:eastAsia="Times New Roman" w:hAnsi="Arial" w:cs="Arial"/>
          <w:noProof/>
          <w:color w:val="000000"/>
          <w:lang w:val="mk-MK"/>
        </w:rPr>
        <w:t xml:space="preserve"> женските индустрии каде нема вработени мажи кои работат иста рабо</w:t>
      </w:r>
      <w:r w:rsidR="001A3B4C">
        <w:rPr>
          <w:rFonts w:ascii="Arial" w:eastAsia="Times New Roman" w:hAnsi="Arial" w:cs="Arial"/>
          <w:noProof/>
          <w:color w:val="000000"/>
          <w:lang w:val="mk-MK"/>
        </w:rPr>
        <w:t>та или работа со иста вредност - в</w:t>
      </w:r>
      <w:r w:rsidRPr="0055228B">
        <w:rPr>
          <w:rFonts w:ascii="Arial" w:eastAsia="Times New Roman" w:hAnsi="Arial" w:cs="Arial"/>
          <w:noProof/>
          <w:color w:val="000000"/>
          <w:lang w:val="mk-MK"/>
        </w:rPr>
        <w:t xml:space="preserve">о овие случаи </w:t>
      </w:r>
      <w:r w:rsidR="001A3B4C">
        <w:rPr>
          <w:rFonts w:ascii="Arial" w:eastAsia="Times New Roman" w:hAnsi="Arial" w:cs="Arial"/>
          <w:noProof/>
          <w:color w:val="000000"/>
          <w:lang w:val="mk-MK"/>
        </w:rPr>
        <w:t>да се предвиди</w:t>
      </w:r>
      <w:r w:rsidRPr="0055228B">
        <w:rPr>
          <w:rFonts w:ascii="Arial" w:eastAsia="Times New Roman" w:hAnsi="Arial" w:cs="Arial"/>
          <w:noProof/>
          <w:color w:val="000000"/>
          <w:lang w:val="mk-MK"/>
        </w:rPr>
        <w:t xml:space="preserve"> компаратор и на ниво на индустрија;</w:t>
      </w:r>
    </w:p>
    <w:p w14:paraId="60B2351F" w14:textId="0F5F1B9E" w:rsidR="003F3C77" w:rsidRPr="00630516" w:rsidRDefault="00720ACA" w:rsidP="00630516">
      <w:pPr>
        <w:pStyle w:val="ListParagraph"/>
        <w:numPr>
          <w:ilvl w:val="0"/>
          <w:numId w:val="15"/>
        </w:numPr>
        <w:spacing w:after="0" w:line="240" w:lineRule="auto"/>
        <w:jc w:val="both"/>
        <w:textAlignment w:val="baseline"/>
        <w:rPr>
          <w:rFonts w:ascii="Arial" w:eastAsia="Times New Roman" w:hAnsi="Arial" w:cs="Arial"/>
          <w:noProof/>
          <w:color w:val="000000"/>
          <w:lang w:val="mk-MK"/>
        </w:rPr>
      </w:pPr>
      <w:r w:rsidRPr="0055228B">
        <w:rPr>
          <w:rFonts w:ascii="Arial" w:eastAsia="Times New Roman" w:hAnsi="Arial" w:cs="Arial"/>
          <w:noProof/>
          <w:color w:val="000000"/>
          <w:lang w:val="mk-MK"/>
        </w:rPr>
        <w:lastRenderedPageBreak/>
        <w:t xml:space="preserve">важно е да се предвиди прекршочна одредба со пропорционална глоба согласно директивата што значи дека треба, да се овозможи пресметување на глобата од страна на прекршочен орган согласно големината на работодавачот и </w:t>
      </w:r>
      <w:r w:rsidR="004E0E1F">
        <w:rPr>
          <w:rFonts w:ascii="Arial" w:eastAsia="Times New Roman" w:hAnsi="Arial" w:cs="Arial"/>
          <w:noProof/>
          <w:color w:val="000000"/>
          <w:lang w:val="mk-MK"/>
        </w:rPr>
        <w:t>таа</w:t>
      </w:r>
      <w:r w:rsidRPr="0055228B">
        <w:rPr>
          <w:rFonts w:ascii="Arial" w:eastAsia="Times New Roman" w:hAnsi="Arial" w:cs="Arial"/>
          <w:noProof/>
          <w:color w:val="000000"/>
          <w:lang w:val="mk-MK"/>
        </w:rPr>
        <w:t xml:space="preserve"> да е доволно голема за да го одврати работодавачот да го повторува прекршокот. Но ова секако се коси и со Законот на прекршоците, па имајќи ја превид постапката за помирување и обврската во неа да се понуди најмалата сума, треба со закон да се уредат доволно големи казни.</w:t>
      </w:r>
    </w:p>
    <w:p w14:paraId="2FACE1E5" w14:textId="77777777" w:rsidR="003F3C77" w:rsidRPr="00720ACA" w:rsidRDefault="003F3C77" w:rsidP="0055228B">
      <w:pPr>
        <w:pStyle w:val="ListParagraph"/>
        <w:spacing w:after="0" w:line="240" w:lineRule="auto"/>
        <w:ind w:left="1440"/>
        <w:jc w:val="both"/>
        <w:textAlignment w:val="baseline"/>
        <w:rPr>
          <w:rFonts w:ascii="Arial" w:eastAsia="Times New Roman" w:hAnsi="Arial" w:cs="Arial"/>
          <w:noProof/>
          <w:color w:val="000000"/>
          <w:lang w:val="mk-MK"/>
        </w:rPr>
      </w:pPr>
    </w:p>
    <w:p w14:paraId="1662DCCB" w14:textId="00F12DBF" w:rsidR="003F3C77" w:rsidRPr="00720ACA" w:rsidRDefault="003F3C77" w:rsidP="00862619">
      <w:pPr>
        <w:pStyle w:val="ListParagraph"/>
        <w:numPr>
          <w:ilvl w:val="0"/>
          <w:numId w:val="16"/>
        </w:numPr>
        <w:spacing w:after="0" w:line="240" w:lineRule="auto"/>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 xml:space="preserve">Потребно е ЗРО да предвиди посебна глава за самовработените лица - </w:t>
      </w:r>
      <w:r w:rsidRPr="00720ACA">
        <w:rPr>
          <w:rFonts w:ascii="Arial" w:eastAsia="Times New Roman" w:hAnsi="Arial" w:cs="Arial"/>
          <w:b/>
          <w:bCs/>
          <w:noProof/>
          <w:color w:val="000000"/>
          <w:lang w:val="mk-MK"/>
        </w:rPr>
        <w:t>„Самовработување“</w:t>
      </w:r>
      <w:r w:rsidRPr="00720ACA">
        <w:rPr>
          <w:rFonts w:ascii="Arial" w:eastAsia="Times New Roman" w:hAnsi="Arial" w:cs="Arial"/>
          <w:noProof/>
          <w:color w:val="000000"/>
          <w:lang w:val="mk-MK"/>
        </w:rPr>
        <w:t xml:space="preserve"> каде детално ќе се регулираат правата од работен однос</w:t>
      </w:r>
      <w:r w:rsidR="005109A7">
        <w:rPr>
          <w:rFonts w:ascii="Arial" w:eastAsia="Times New Roman" w:hAnsi="Arial" w:cs="Arial"/>
          <w:noProof/>
          <w:color w:val="000000"/>
          <w:lang w:val="mk-MK"/>
        </w:rPr>
        <w:t xml:space="preserve"> што</w:t>
      </w:r>
      <w:r w:rsidRPr="00720ACA">
        <w:rPr>
          <w:rFonts w:ascii="Arial" w:eastAsia="Times New Roman" w:hAnsi="Arial" w:cs="Arial"/>
          <w:noProof/>
          <w:color w:val="000000"/>
          <w:lang w:val="mk-MK"/>
        </w:rPr>
        <w:t xml:space="preserve"> им припаѓаат. Оваа глава треба да содржи: </w:t>
      </w:r>
    </w:p>
    <w:p w14:paraId="69BD1FFA" w14:textId="77777777" w:rsidR="003F3C77" w:rsidRPr="00720ACA" w:rsidRDefault="003F3C77" w:rsidP="0055228B">
      <w:pPr>
        <w:numPr>
          <w:ilvl w:val="0"/>
          <w:numId w:val="6"/>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дефиниција на самовработувањето согласно директивите на ЕУ и праксата на Судот на правдата на ЕУ;</w:t>
      </w:r>
    </w:p>
    <w:p w14:paraId="1780978F" w14:textId="77777777" w:rsidR="003F3C77" w:rsidRPr="00720ACA" w:rsidRDefault="003F3C77" w:rsidP="0055228B">
      <w:pPr>
        <w:numPr>
          <w:ilvl w:val="0"/>
          <w:numId w:val="6"/>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овозможување на сите права од пензиско, здравствено и социјално осигурување на самовработените лица, право на породилно отсуство и право на боледување; </w:t>
      </w:r>
    </w:p>
    <w:p w14:paraId="3B430558" w14:textId="4DAEE54F" w:rsidR="003F3C77" w:rsidRPr="00720ACA" w:rsidRDefault="003F3C77" w:rsidP="0055228B">
      <w:pPr>
        <w:numPr>
          <w:ilvl w:val="0"/>
          <w:numId w:val="6"/>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препознавање и дефинирање на неплатената работа дома (да се пр</w:t>
      </w:r>
      <w:r w:rsidR="0050411B">
        <w:rPr>
          <w:rFonts w:ascii="Arial" w:eastAsia="Times New Roman" w:hAnsi="Arial" w:cs="Arial"/>
          <w:noProof/>
          <w:color w:val="000000"/>
          <w:lang w:val="mk-MK"/>
        </w:rPr>
        <w:t>е</w:t>
      </w:r>
      <w:r w:rsidRPr="00720ACA">
        <w:rPr>
          <w:rFonts w:ascii="Arial" w:eastAsia="Times New Roman" w:hAnsi="Arial" w:cs="Arial"/>
          <w:noProof/>
          <w:color w:val="000000"/>
          <w:lang w:val="mk-MK"/>
        </w:rPr>
        <w:t>познаат домаќинките), да се предвиди начинот на нивно регистрирање и остварување на правата. </w:t>
      </w:r>
    </w:p>
    <w:p w14:paraId="484BBDC8" w14:textId="77777777" w:rsidR="00862619" w:rsidRPr="00720ACA" w:rsidRDefault="00862619" w:rsidP="00862619">
      <w:pPr>
        <w:spacing w:after="0" w:line="240" w:lineRule="auto"/>
        <w:ind w:left="1440"/>
        <w:jc w:val="both"/>
        <w:textAlignment w:val="baseline"/>
        <w:rPr>
          <w:rFonts w:ascii="Arial" w:eastAsia="Times New Roman" w:hAnsi="Arial" w:cs="Arial"/>
          <w:noProof/>
          <w:color w:val="000000"/>
          <w:lang w:val="mk-MK"/>
        </w:rPr>
      </w:pPr>
    </w:p>
    <w:p w14:paraId="1530C3E2" w14:textId="7287B0B3" w:rsidR="003F3C77" w:rsidRPr="00720ACA" w:rsidRDefault="003F3C77" w:rsidP="00862619">
      <w:pPr>
        <w:pStyle w:val="ListParagraph"/>
        <w:numPr>
          <w:ilvl w:val="0"/>
          <w:numId w:val="16"/>
        </w:numPr>
        <w:spacing w:after="0" w:line="240" w:lineRule="auto"/>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 xml:space="preserve">Во уредувањето на </w:t>
      </w:r>
      <w:r w:rsidRPr="00720ACA">
        <w:rPr>
          <w:rFonts w:ascii="Arial" w:eastAsia="Times New Roman" w:hAnsi="Arial" w:cs="Arial"/>
          <w:b/>
          <w:bCs/>
          <w:noProof/>
          <w:color w:val="000000"/>
          <w:lang w:val="mk-MK"/>
        </w:rPr>
        <w:t>отсуството поради бременост, мајчинство, татковство</w:t>
      </w:r>
      <w:r w:rsidRPr="00720ACA">
        <w:rPr>
          <w:rFonts w:ascii="Arial" w:eastAsia="Times New Roman" w:hAnsi="Arial" w:cs="Arial"/>
          <w:noProof/>
          <w:color w:val="000000"/>
          <w:lang w:val="mk-MK"/>
        </w:rPr>
        <w:t xml:space="preserve"> и родителство имаме значајни унапредувања кои ги поздравуваме. Сепак сметаме дека дел од решенијата нема да бидат фукнционални во пракса</w:t>
      </w:r>
      <w:r w:rsidR="00B96D96">
        <w:rPr>
          <w:rFonts w:ascii="Arial" w:eastAsia="Times New Roman" w:hAnsi="Arial" w:cs="Arial"/>
          <w:noProof/>
          <w:color w:val="000000"/>
          <w:lang w:val="mk-MK"/>
        </w:rPr>
        <w:t>,</w:t>
      </w:r>
      <w:r w:rsidRPr="00720ACA">
        <w:rPr>
          <w:rFonts w:ascii="Arial" w:eastAsia="Times New Roman" w:hAnsi="Arial" w:cs="Arial"/>
          <w:noProof/>
          <w:color w:val="000000"/>
          <w:lang w:val="mk-MK"/>
        </w:rPr>
        <w:t xml:space="preserve"> доколку не се доуредат</w:t>
      </w:r>
      <w:r w:rsidR="00862619" w:rsidRPr="00720ACA">
        <w:rPr>
          <w:rFonts w:ascii="Arial" w:eastAsia="Times New Roman" w:hAnsi="Arial" w:cs="Arial"/>
          <w:noProof/>
          <w:color w:val="000000"/>
          <w:lang w:val="mk-MK"/>
        </w:rPr>
        <w:t>. Дел од нив образложуваме овде</w:t>
      </w:r>
      <w:r w:rsidRPr="00720ACA">
        <w:rPr>
          <w:rFonts w:ascii="Arial" w:eastAsia="Times New Roman" w:hAnsi="Arial" w:cs="Arial"/>
          <w:noProof/>
          <w:color w:val="000000"/>
          <w:lang w:val="mk-MK"/>
        </w:rPr>
        <w:t>: </w:t>
      </w:r>
    </w:p>
    <w:p w14:paraId="0AD77073" w14:textId="5618C34B" w:rsidR="003F3C77" w:rsidRPr="00720ACA" w:rsidRDefault="00AD3291" w:rsidP="0055228B">
      <w:pPr>
        <w:numPr>
          <w:ilvl w:val="0"/>
          <w:numId w:val="8"/>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 xml:space="preserve">договорите на </w:t>
      </w:r>
      <w:r w:rsidR="003F3C77" w:rsidRPr="00720ACA">
        <w:rPr>
          <w:rFonts w:ascii="Arial" w:eastAsia="Times New Roman" w:hAnsi="Arial" w:cs="Arial"/>
          <w:noProof/>
          <w:color w:val="000000"/>
          <w:lang w:val="mk-MK"/>
        </w:rPr>
        <w:t>определено време се најчест начин на дискриминација на бремените работнички. Оттука, единствена новина е дека работодавачот треба навреме да ја извести работничката дека нема да се потпише нов договор, со што никако нема да се реши проблемот, па овој вид дискриминација ќе продолжи. Бараме да се предвиди обврска</w:t>
      </w:r>
      <w:r w:rsidRPr="00720ACA">
        <w:rPr>
          <w:rFonts w:ascii="Arial" w:eastAsia="Times New Roman" w:hAnsi="Arial" w:cs="Arial"/>
          <w:noProof/>
          <w:color w:val="000000"/>
          <w:lang w:val="mk-MK"/>
        </w:rPr>
        <w:t xml:space="preserve"> за продолжување на договор на </w:t>
      </w:r>
      <w:r w:rsidR="003F3C77" w:rsidRPr="00720ACA">
        <w:rPr>
          <w:rFonts w:ascii="Arial" w:eastAsia="Times New Roman" w:hAnsi="Arial" w:cs="Arial"/>
          <w:noProof/>
          <w:color w:val="000000"/>
          <w:lang w:val="mk-MK"/>
        </w:rPr>
        <w:t>определено време до моментот во кој работникот го стекнува правото на платено отсуство поради бременост, мајчинство, татковство или родителство; </w:t>
      </w:r>
    </w:p>
    <w:p w14:paraId="060199DD" w14:textId="17DB39F4" w:rsidR="003F3C77" w:rsidRPr="00720ACA" w:rsidRDefault="003F3C77" w:rsidP="0055228B">
      <w:pPr>
        <w:numPr>
          <w:ilvl w:val="0"/>
          <w:numId w:val="8"/>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 xml:space="preserve">во ова поглавје законот предвидува во повеќе наврати кога треба да му се исплаќаат средства на работникот на товар на работодавачот (на пример, доколку не може да обезбеди безбедни услови за бремени работнички поради што имаат право да не одат на работа и др.). Потребно е со ЗРО да се уреди дека надоместокот поради отсуство поради мајчинство, татковство и родителство се исплаќа од ФЗОМ и </w:t>
      </w:r>
      <w:r w:rsidR="00975EF2">
        <w:rPr>
          <w:rFonts w:ascii="Arial" w:eastAsia="Times New Roman" w:hAnsi="Arial" w:cs="Arial"/>
          <w:noProof/>
          <w:color w:val="000000"/>
          <w:lang w:val="mk-MK"/>
        </w:rPr>
        <w:t>да</w:t>
      </w:r>
      <w:r w:rsidRPr="00720ACA">
        <w:rPr>
          <w:rFonts w:ascii="Arial" w:eastAsia="Times New Roman" w:hAnsi="Arial" w:cs="Arial"/>
          <w:noProof/>
          <w:color w:val="000000"/>
          <w:lang w:val="mk-MK"/>
        </w:rPr>
        <w:t xml:space="preserve"> изнесува 100%. И покрај тоа што Законот за здравствено осигурување ги уредува овие аспекти, </w:t>
      </w:r>
      <w:r w:rsidR="00B619C8">
        <w:rPr>
          <w:rFonts w:ascii="Arial" w:eastAsia="Times New Roman" w:hAnsi="Arial" w:cs="Arial"/>
          <w:noProof/>
          <w:color w:val="000000"/>
          <w:lang w:val="mk-MK"/>
        </w:rPr>
        <w:t>тоа</w:t>
      </w:r>
      <w:r w:rsidRPr="00720ACA">
        <w:rPr>
          <w:rFonts w:ascii="Arial" w:eastAsia="Times New Roman" w:hAnsi="Arial" w:cs="Arial"/>
          <w:noProof/>
          <w:color w:val="000000"/>
          <w:lang w:val="mk-MK"/>
        </w:rPr>
        <w:t xml:space="preserve"> се клучни прашања за остварување на овие права кои е неопходно да бидат уредени со основниот закон од кој поттекнуваат овие права - ЗРО; </w:t>
      </w:r>
    </w:p>
    <w:p w14:paraId="06785B9A" w14:textId="1B76F83D" w:rsidR="003F3C77" w:rsidRPr="00720ACA" w:rsidRDefault="004E18B3" w:rsidP="0055228B">
      <w:pPr>
        <w:numPr>
          <w:ilvl w:val="0"/>
          <w:numId w:val="8"/>
        </w:numPr>
        <w:spacing w:after="0" w:line="240" w:lineRule="auto"/>
        <w:ind w:left="1440"/>
        <w:jc w:val="both"/>
        <w:textAlignment w:val="baseline"/>
        <w:rPr>
          <w:rFonts w:ascii="Arial" w:eastAsia="Times New Roman" w:hAnsi="Arial" w:cs="Arial"/>
          <w:noProof/>
          <w:color w:val="000000"/>
          <w:lang w:val="mk-MK"/>
        </w:rPr>
      </w:pPr>
      <w:r>
        <w:rPr>
          <w:rFonts w:ascii="Arial" w:eastAsia="Times New Roman" w:hAnsi="Arial" w:cs="Arial"/>
          <w:noProof/>
          <w:color w:val="000000"/>
          <w:lang w:val="mk-MK"/>
        </w:rPr>
        <w:t>во член 170 став 6 „</w:t>
      </w:r>
      <w:r w:rsidR="003F3C77" w:rsidRPr="00720ACA">
        <w:rPr>
          <w:rFonts w:ascii="Arial" w:eastAsia="Times New Roman" w:hAnsi="Arial" w:cs="Arial"/>
          <w:noProof/>
          <w:color w:val="000000"/>
          <w:lang w:val="mk-MK"/>
        </w:rPr>
        <w:t>Работодавачот може да го одбие барањето на работникот од ставот (3) на овој член, само доколку има основана причина поврзана со организацијата или функционирањето на работата, при што, е должен таквата причина да ја образложи во писмена форма“. За да можат работниците фактички да го уживаат правото на работа во флексибилна форма поради грижа за дете неопходна е контрола над работодавачите кои ги одбиваат ваквите барања, во спротивно лесно ќе ги одбиваат барањата и работниците нема да го уживаат правото. Оттука треба да се предвиди постапка за известување на ДИТ доколку работодавачот го одбива</w:t>
      </w:r>
      <w:r w:rsidR="008C632F">
        <w:rPr>
          <w:rFonts w:ascii="Arial" w:eastAsia="Times New Roman" w:hAnsi="Arial" w:cs="Arial"/>
          <w:noProof/>
          <w:color w:val="000000"/>
          <w:lang w:val="mk-MK"/>
        </w:rPr>
        <w:t>,</w:t>
      </w:r>
      <w:r w:rsidR="003F3C77" w:rsidRPr="00720ACA">
        <w:rPr>
          <w:rFonts w:ascii="Arial" w:eastAsia="Times New Roman" w:hAnsi="Arial" w:cs="Arial"/>
          <w:noProof/>
          <w:color w:val="000000"/>
          <w:lang w:val="mk-MK"/>
        </w:rPr>
        <w:t xml:space="preserve"> со </w:t>
      </w:r>
      <w:r w:rsidR="003F3C77" w:rsidRPr="00720ACA">
        <w:rPr>
          <w:rFonts w:ascii="Arial" w:eastAsia="Times New Roman" w:hAnsi="Arial" w:cs="Arial"/>
          <w:noProof/>
          <w:color w:val="000000"/>
          <w:lang w:val="mk-MK"/>
        </w:rPr>
        <w:lastRenderedPageBreak/>
        <w:t>об</w:t>
      </w:r>
      <w:r w:rsidR="008C632F">
        <w:rPr>
          <w:rFonts w:ascii="Arial" w:eastAsia="Times New Roman" w:hAnsi="Arial" w:cs="Arial"/>
          <w:noProof/>
          <w:color w:val="000000"/>
          <w:lang w:val="mk-MK"/>
        </w:rPr>
        <w:t>вр</w:t>
      </w:r>
      <w:r w:rsidR="003F3C77" w:rsidRPr="00720ACA">
        <w:rPr>
          <w:rFonts w:ascii="Arial" w:eastAsia="Times New Roman" w:hAnsi="Arial" w:cs="Arial"/>
          <w:noProof/>
          <w:color w:val="000000"/>
          <w:lang w:val="mk-MK"/>
        </w:rPr>
        <w:t>ска ДИТ да донесе одлука за оправданоста на одбивањето во одреден рок (</w:t>
      </w:r>
      <w:r w:rsidR="008C632F">
        <w:rPr>
          <w:rFonts w:ascii="Arial" w:eastAsia="Times New Roman" w:hAnsi="Arial" w:cs="Arial"/>
          <w:noProof/>
          <w:color w:val="000000"/>
          <w:lang w:val="mk-MK"/>
        </w:rPr>
        <w:t xml:space="preserve">предлог рокот да </w:t>
      </w:r>
      <w:r w:rsidR="00D35B99">
        <w:rPr>
          <w:rFonts w:ascii="Arial" w:eastAsia="Times New Roman" w:hAnsi="Arial" w:cs="Arial"/>
          <w:noProof/>
          <w:color w:val="000000"/>
          <w:lang w:val="mk-MK"/>
        </w:rPr>
        <w:t>изнесува</w:t>
      </w:r>
      <w:r w:rsidR="008C632F">
        <w:rPr>
          <w:rFonts w:ascii="Arial" w:eastAsia="Times New Roman" w:hAnsi="Arial" w:cs="Arial"/>
          <w:noProof/>
          <w:color w:val="000000"/>
          <w:lang w:val="mk-MK"/>
        </w:rPr>
        <w:t xml:space="preserve"> </w:t>
      </w:r>
      <w:r w:rsidR="003F3C77" w:rsidRPr="00720ACA">
        <w:rPr>
          <w:rFonts w:ascii="Arial" w:eastAsia="Times New Roman" w:hAnsi="Arial" w:cs="Arial"/>
          <w:noProof/>
          <w:color w:val="000000"/>
          <w:lang w:val="mk-MK"/>
        </w:rPr>
        <w:t>15 дена); </w:t>
      </w:r>
    </w:p>
    <w:p w14:paraId="525ECBC8" w14:textId="14784E63" w:rsidR="003F3C77" w:rsidRPr="00720ACA" w:rsidRDefault="003F3C77" w:rsidP="0055228B">
      <w:pPr>
        <w:numPr>
          <w:ilvl w:val="0"/>
          <w:numId w:val="8"/>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 xml:space="preserve">во 174 став 1 е предвидено дека работодавачот не смее да го отпушти работникот </w:t>
      </w:r>
      <w:r w:rsidR="008A0464">
        <w:rPr>
          <w:rFonts w:ascii="Arial" w:eastAsia="Times New Roman" w:hAnsi="Arial" w:cs="Arial"/>
          <w:noProof/>
          <w:color w:val="000000"/>
          <w:lang w:val="mk-MK"/>
        </w:rPr>
        <w:t>два</w:t>
      </w:r>
      <w:r w:rsidRPr="00720ACA">
        <w:rPr>
          <w:rFonts w:ascii="Arial" w:eastAsia="Times New Roman" w:hAnsi="Arial" w:cs="Arial"/>
          <w:noProof/>
          <w:color w:val="000000"/>
          <w:lang w:val="mk-MK"/>
        </w:rPr>
        <w:t xml:space="preserve"> месеци откако ќе се врати на работа по користење на отсуството поради мајчинство, татковство и родителство. Сметаме дека ова е премал период за да се заштитат работниците со новоформирани семејства. Бараме да се промени со </w:t>
      </w:r>
      <w:r w:rsidR="0082117F">
        <w:rPr>
          <w:rFonts w:ascii="Arial" w:eastAsia="Times New Roman" w:hAnsi="Arial" w:cs="Arial"/>
          <w:noProof/>
          <w:color w:val="000000"/>
          <w:lang w:val="mk-MK"/>
        </w:rPr>
        <w:t>шест</w:t>
      </w:r>
      <w:r w:rsidRPr="00720ACA">
        <w:rPr>
          <w:rFonts w:ascii="Arial" w:eastAsia="Times New Roman" w:hAnsi="Arial" w:cs="Arial"/>
          <w:noProof/>
          <w:color w:val="000000"/>
          <w:lang w:val="mk-MK"/>
        </w:rPr>
        <w:t xml:space="preserve"> месеци и со задолжителен отказен рок од </w:t>
      </w:r>
      <w:r w:rsidR="0082117F">
        <w:rPr>
          <w:rFonts w:ascii="Arial" w:eastAsia="Times New Roman" w:hAnsi="Arial" w:cs="Arial"/>
          <w:noProof/>
          <w:color w:val="000000"/>
          <w:lang w:val="mk-MK"/>
        </w:rPr>
        <w:t>три</w:t>
      </w:r>
      <w:r w:rsidRPr="00720ACA">
        <w:rPr>
          <w:rFonts w:ascii="Arial" w:eastAsia="Times New Roman" w:hAnsi="Arial" w:cs="Arial"/>
          <w:noProof/>
          <w:color w:val="000000"/>
          <w:lang w:val="mk-MK"/>
        </w:rPr>
        <w:t xml:space="preserve"> месеци, освен ако работникот не побара помал отказен рок. </w:t>
      </w:r>
    </w:p>
    <w:p w14:paraId="19BC9146" w14:textId="77777777" w:rsidR="003F3C77" w:rsidRPr="00720ACA" w:rsidRDefault="003F3C77" w:rsidP="0055228B">
      <w:pPr>
        <w:spacing w:after="0" w:line="240" w:lineRule="auto"/>
        <w:ind w:left="1440"/>
        <w:jc w:val="both"/>
        <w:textAlignment w:val="baseline"/>
        <w:rPr>
          <w:rFonts w:ascii="Arial" w:eastAsia="Times New Roman" w:hAnsi="Arial" w:cs="Arial"/>
          <w:noProof/>
          <w:color w:val="000000"/>
          <w:lang w:val="mk-MK"/>
        </w:rPr>
      </w:pPr>
    </w:p>
    <w:p w14:paraId="721DE732" w14:textId="77777777" w:rsidR="003F3C77" w:rsidRPr="00720ACA" w:rsidRDefault="003F3C77" w:rsidP="00862619">
      <w:pPr>
        <w:pStyle w:val="ListParagraph"/>
        <w:numPr>
          <w:ilvl w:val="0"/>
          <w:numId w:val="16"/>
        </w:numPr>
        <w:spacing w:after="0" w:line="240" w:lineRule="auto"/>
        <w:jc w:val="both"/>
        <w:rPr>
          <w:rFonts w:ascii="Arial" w:eastAsia="Times New Roman" w:hAnsi="Arial" w:cs="Arial"/>
          <w:noProof/>
          <w:lang w:val="mk-MK"/>
        </w:rPr>
      </w:pPr>
      <w:r w:rsidRPr="00720ACA">
        <w:rPr>
          <w:rFonts w:ascii="Arial" w:eastAsia="Times New Roman" w:hAnsi="Arial" w:cs="Arial"/>
          <w:noProof/>
          <w:color w:val="000000"/>
          <w:lang w:val="mk-MK"/>
        </w:rPr>
        <w:t xml:space="preserve">При уредувањето на правата и обврските на работникот, ЗРО мора да ги усогласи решенијата со постоечката фактичка состојба - односно, мора да се внимава дека </w:t>
      </w:r>
      <w:r w:rsidRPr="00720ACA">
        <w:rPr>
          <w:rFonts w:ascii="Arial" w:eastAsia="Times New Roman" w:hAnsi="Arial" w:cs="Arial"/>
          <w:b/>
          <w:bCs/>
          <w:noProof/>
          <w:color w:val="000000"/>
          <w:lang w:val="mk-MK"/>
        </w:rPr>
        <w:t>за некои категории лица потребна е поинаква дефиниција во ЗРО од оние во другите закони, како на пример -  Законот за социјалната заштита, Законот за семејството, или Законот за основно/средно образование.</w:t>
      </w:r>
      <w:r w:rsidRPr="00720ACA">
        <w:rPr>
          <w:rFonts w:ascii="Arial" w:eastAsia="Times New Roman" w:hAnsi="Arial" w:cs="Arial"/>
          <w:noProof/>
          <w:color w:val="000000"/>
          <w:lang w:val="mk-MK"/>
        </w:rPr>
        <w:t xml:space="preserve"> Целите на овие закони се поинакви и тие утврдуваат посебна заштита. ЗРО треба да цели кон тоа да ги препознае различните околности во кои се наоѓаат работниците и да им го уреди работниот однос и балансот помеѓу работата и приватниот живот на начин кој ќе им биде корисен и применлив. Затоа, предлагаме:</w:t>
      </w:r>
    </w:p>
    <w:p w14:paraId="003B4EEC" w14:textId="16D6DD49" w:rsidR="003F3C77" w:rsidRPr="00720ACA" w:rsidRDefault="003F3C77" w:rsidP="0055228B">
      <w:pPr>
        <w:numPr>
          <w:ilvl w:val="0"/>
          <w:numId w:val="10"/>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вклучување посебна дефиниција за „самохран родител“ за потребите на ЗРО, или промена на терминот „само</w:t>
      </w:r>
      <w:r w:rsidR="005230F5">
        <w:rPr>
          <w:rFonts w:ascii="Arial" w:eastAsia="Times New Roman" w:hAnsi="Arial" w:cs="Arial"/>
          <w:noProof/>
          <w:color w:val="000000"/>
          <w:lang w:val="mk-MK"/>
        </w:rPr>
        <w:t>хран родител“ со „родител на кого</w:t>
      </w:r>
      <w:r w:rsidRPr="00720ACA">
        <w:rPr>
          <w:rFonts w:ascii="Arial" w:eastAsia="Times New Roman" w:hAnsi="Arial" w:cs="Arial"/>
          <w:noProof/>
          <w:color w:val="000000"/>
          <w:lang w:val="mk-MK"/>
        </w:rPr>
        <w:t xml:space="preserve"> децата му се доделени на чување и воспитување“. Во моментов, дефиницијата за самохран родител е дадена во Законот за социјална заштита, и предвидува дека тоа е родител кој сам ги врши родителските права и должности за детето, поради тоа што другиот родител е непознат, починат, исчезнат или од оправдани причини привремено или трајно не ги извршува родителските права и должности. Оваа дефиниција не е во функција на ЗРО, бидејќи голем е бројот на семејства во кои децата живеат со еден од родителите, и тој еден родител е во неповолна положба да го организира денот и работното време така што ќе може да ги задоволува потребите и обврските на малолетните деца. Од овие причини, сметаме дека овие права треба да бидат достапни за сите родители кои ја имаат основната грижа и воспитување на детето, без оглед на тоа дали на другиот родител му е одземено или ограничено родителското право; </w:t>
      </w:r>
    </w:p>
    <w:p w14:paraId="7E4F5A9E" w14:textId="77777777" w:rsidR="003F3C77" w:rsidRPr="00720ACA" w:rsidRDefault="003F3C77" w:rsidP="0055228B">
      <w:pPr>
        <w:numPr>
          <w:ilvl w:val="0"/>
          <w:numId w:val="10"/>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проширување на листата на лица од семејството заради кои на работникот му е дозволено отсуство од работа. Во моментов, оваа листа главно се фокусира на родители и деца. Меѓутоа, во реалниот живот фактичката состојба битно се разликува - голем е бројот на лица кои живеат во вонбрачни заедници, како и лица кои живеат во заедничко домаќинство со лица кои не спаѓаат во најтесното семејство, согласно дефиницијата, а потребата од грижа за нив значително им го отежнува работењето во одреден временски период; </w:t>
      </w:r>
    </w:p>
    <w:p w14:paraId="45546A04" w14:textId="77777777" w:rsidR="003F3C77" w:rsidRPr="00720ACA" w:rsidRDefault="003F3C77" w:rsidP="0055228B">
      <w:pPr>
        <w:numPr>
          <w:ilvl w:val="0"/>
          <w:numId w:val="10"/>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каде што се препознаени брачните партнери во оснос на одредени права на работникот треба да се наведат и вонбрачните партнери со што во согласност со Законот за семејство ќе се овозможи поголема фактичка еднаквост на брачната и вонбрачната заедница. </w:t>
      </w:r>
    </w:p>
    <w:p w14:paraId="52740507" w14:textId="77777777" w:rsidR="003F3C77" w:rsidRPr="00720ACA" w:rsidRDefault="003F3C77" w:rsidP="0055228B">
      <w:pPr>
        <w:spacing w:after="0" w:line="240" w:lineRule="auto"/>
        <w:ind w:left="1440"/>
        <w:jc w:val="both"/>
        <w:textAlignment w:val="baseline"/>
        <w:rPr>
          <w:rFonts w:ascii="Arial" w:eastAsia="Times New Roman" w:hAnsi="Arial" w:cs="Arial"/>
          <w:noProof/>
          <w:color w:val="000000"/>
          <w:lang w:val="mk-MK"/>
        </w:rPr>
      </w:pPr>
    </w:p>
    <w:p w14:paraId="47F1B4C2" w14:textId="77777777" w:rsidR="003F3C77" w:rsidRPr="00720ACA" w:rsidRDefault="003F3C77" w:rsidP="00862619">
      <w:pPr>
        <w:pStyle w:val="ListParagraph"/>
        <w:numPr>
          <w:ilvl w:val="0"/>
          <w:numId w:val="16"/>
        </w:numPr>
        <w:spacing w:after="0" w:line="240" w:lineRule="auto"/>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 xml:space="preserve">ЗРО мора да биде усогласен со постоечките меѓународни стандарди и да обезбеди соодветна заштита за сите работници, </w:t>
      </w:r>
      <w:r w:rsidRPr="00720ACA">
        <w:rPr>
          <w:rFonts w:ascii="Arial" w:eastAsia="Times New Roman" w:hAnsi="Arial" w:cs="Arial"/>
          <w:b/>
          <w:bCs/>
          <w:noProof/>
          <w:color w:val="000000"/>
          <w:lang w:val="mk-MK"/>
        </w:rPr>
        <w:t xml:space="preserve">а особено за посебните категории работници. </w:t>
      </w:r>
      <w:r w:rsidRPr="00720ACA">
        <w:rPr>
          <w:rFonts w:ascii="Arial" w:eastAsia="Times New Roman" w:hAnsi="Arial" w:cs="Arial"/>
          <w:noProof/>
          <w:color w:val="000000"/>
          <w:lang w:val="mk-MK"/>
        </w:rPr>
        <w:t>Во таа насока, предлагаме:</w:t>
      </w:r>
    </w:p>
    <w:p w14:paraId="1EB060CD" w14:textId="77777777" w:rsidR="003F3C77" w:rsidRPr="00720ACA" w:rsidRDefault="003F3C77" w:rsidP="0055228B">
      <w:pPr>
        <w:numPr>
          <w:ilvl w:val="0"/>
          <w:numId w:val="12"/>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lastRenderedPageBreak/>
        <w:t>усогласување на одредбите кои се однесуваат на „деца“ и „млади“ согласно Конвенцијата за правата на детето што предвидува дека деца се сите лица на возраст до 18 години;</w:t>
      </w:r>
    </w:p>
    <w:p w14:paraId="6F7E68A5" w14:textId="77777777" w:rsidR="003F3C77" w:rsidRPr="00720ACA" w:rsidRDefault="003F3C77" w:rsidP="0055228B">
      <w:pPr>
        <w:numPr>
          <w:ilvl w:val="0"/>
          <w:numId w:val="12"/>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усогласување на Законот со Конвенцијата за правата на лицата со попреченост, преку отстранување на терминот „општа здравствена состојба“ и негова соодветна замена со термин што ќе ги опфати само потребните способности за вршење на работата, доколку се изврши разумно приспособување на работното место. За ова да биде ефективно, неопходно е да се вклучи универзална обврска за примена на начелото на пристапност во сите сегменти на работниот однос, со цел ефективен и непречен пристап на отворениот пазар на трудот на лицата со попреченост;</w:t>
      </w:r>
    </w:p>
    <w:p w14:paraId="5F81696A" w14:textId="77777777" w:rsidR="003F3C77" w:rsidRPr="00720ACA" w:rsidRDefault="003F3C77" w:rsidP="0055228B">
      <w:pPr>
        <w:numPr>
          <w:ilvl w:val="0"/>
          <w:numId w:val="12"/>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усогласување со Препораката на СЗО, правата на мајка што дои дете да траат во рок од 2 години, наместо, засега предвидената, 1 од моментот на раѓање на детето. </w:t>
      </w:r>
    </w:p>
    <w:p w14:paraId="02B601DF" w14:textId="77777777" w:rsidR="003F3C77" w:rsidRPr="00720ACA" w:rsidRDefault="003F3C77" w:rsidP="0055228B">
      <w:pPr>
        <w:spacing w:after="0" w:line="240" w:lineRule="auto"/>
        <w:jc w:val="both"/>
        <w:textAlignment w:val="baseline"/>
        <w:rPr>
          <w:rFonts w:ascii="Arial" w:eastAsia="Times New Roman" w:hAnsi="Arial" w:cs="Arial"/>
          <w:noProof/>
          <w:color w:val="000000"/>
          <w:lang w:val="mk-MK"/>
        </w:rPr>
      </w:pPr>
    </w:p>
    <w:p w14:paraId="1B726CE1" w14:textId="77777777" w:rsidR="003F3C77" w:rsidRPr="00720ACA" w:rsidRDefault="003F3C77" w:rsidP="00862619">
      <w:pPr>
        <w:pStyle w:val="ListParagraph"/>
        <w:numPr>
          <w:ilvl w:val="0"/>
          <w:numId w:val="16"/>
        </w:numPr>
        <w:spacing w:after="0" w:line="240" w:lineRule="auto"/>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 xml:space="preserve">Законот мора да внимава </w:t>
      </w:r>
      <w:r w:rsidRPr="00720ACA">
        <w:rPr>
          <w:rFonts w:ascii="Arial" w:eastAsia="Times New Roman" w:hAnsi="Arial" w:cs="Arial"/>
          <w:b/>
          <w:bCs/>
          <w:noProof/>
          <w:color w:val="000000"/>
          <w:lang w:val="mk-MK"/>
        </w:rPr>
        <w:t>достоинството на работникот да остане заштитено во текот, но и по престанокот на работниот однос</w:t>
      </w:r>
      <w:r w:rsidRPr="00720ACA">
        <w:rPr>
          <w:rFonts w:ascii="Arial" w:eastAsia="Times New Roman" w:hAnsi="Arial" w:cs="Arial"/>
          <w:noProof/>
          <w:color w:val="000000"/>
          <w:lang w:val="mk-MK"/>
        </w:rPr>
        <w:t>. Од овие причини, Законот мора да внимава на следново:</w:t>
      </w:r>
    </w:p>
    <w:p w14:paraId="0FC7B54E" w14:textId="77777777" w:rsidR="003F3C77" w:rsidRPr="00720ACA" w:rsidRDefault="003F3C77" w:rsidP="0055228B">
      <w:pPr>
        <w:numPr>
          <w:ilvl w:val="0"/>
          <w:numId w:val="14"/>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доколку членството во синдикат е право на избор, тогаш работникот кој не е член на синдикат не смее да има помали права од работен однос во споредба со член на синдикатот. Членот на синдикат може да има пристап до поволности што ги овозможува синдикатот, но надвор од работниот однос, додека поволностите поврзани со работен однос мора да важат подеднакво за сите;</w:t>
      </w:r>
    </w:p>
    <w:p w14:paraId="7B833957" w14:textId="77777777" w:rsidR="003F3C77" w:rsidRPr="00720ACA" w:rsidRDefault="003F3C77" w:rsidP="0055228B">
      <w:pPr>
        <w:numPr>
          <w:ilvl w:val="0"/>
          <w:numId w:val="14"/>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работникот сам да одлучува за членство во синдикатот, што подразбира дека работникот е тој што ќе побара од работодавачот да исплаќа дел од неговата плата на име членарина во синдикат, наместо досегашното решение синдикатите да го бараат тоа;</w:t>
      </w:r>
    </w:p>
    <w:p w14:paraId="743BADCC" w14:textId="77777777" w:rsidR="003F3C77" w:rsidRPr="00720ACA" w:rsidRDefault="003F3C77" w:rsidP="0055228B">
      <w:pPr>
        <w:numPr>
          <w:ilvl w:val="0"/>
          <w:numId w:val="14"/>
        </w:numPr>
        <w:spacing w:after="0" w:line="240" w:lineRule="auto"/>
        <w:ind w:left="1440"/>
        <w:jc w:val="both"/>
        <w:textAlignment w:val="baseline"/>
        <w:rPr>
          <w:rFonts w:ascii="Arial" w:eastAsia="Times New Roman" w:hAnsi="Arial" w:cs="Arial"/>
          <w:noProof/>
          <w:color w:val="000000"/>
          <w:lang w:val="mk-MK"/>
        </w:rPr>
      </w:pPr>
      <w:r w:rsidRPr="00720ACA">
        <w:rPr>
          <w:rFonts w:ascii="Arial" w:eastAsia="Times New Roman" w:hAnsi="Arial" w:cs="Arial"/>
          <w:noProof/>
          <w:color w:val="000000"/>
          <w:lang w:val="mk-MK"/>
        </w:rPr>
        <w:t>конкурентската клаузула не смее да го стави работникот во позиција на неразумни загуби. Од овие причини, ЗРО мора да уреди дека доколку работодавачот не дозволи поништување на конкуренткската клаузула, ќе биде обврзан да ја надомести заработувачката која работникот би ја добил, како и можноста за напредок што работникот ја губи со ваквата клаузула. Со моменталната одредба, отворена е можноста работодавачот да му исплати многу помал износ на работникот, со што тој се става во многу понеповолна положба.</w:t>
      </w:r>
    </w:p>
    <w:p w14:paraId="30875A3B" w14:textId="77777777" w:rsidR="003F3C77" w:rsidRPr="00720ACA" w:rsidRDefault="003F3C77" w:rsidP="0055228B">
      <w:pPr>
        <w:spacing w:after="240" w:line="240" w:lineRule="auto"/>
        <w:jc w:val="both"/>
        <w:rPr>
          <w:rFonts w:ascii="Arial" w:eastAsia="Times New Roman" w:hAnsi="Arial" w:cs="Arial"/>
          <w:noProof/>
          <w:lang w:val="mk-MK"/>
        </w:rPr>
      </w:pPr>
    </w:p>
    <w:p w14:paraId="545E6F7C" w14:textId="69EE66AD" w:rsidR="00075F5A" w:rsidRPr="00720ACA" w:rsidRDefault="00E15662" w:rsidP="00E15662">
      <w:pPr>
        <w:spacing w:after="0" w:line="240" w:lineRule="auto"/>
        <w:jc w:val="both"/>
        <w:rPr>
          <w:rFonts w:ascii="Arial" w:eastAsia="Times New Roman" w:hAnsi="Arial" w:cs="Arial"/>
          <w:b/>
          <w:bCs/>
          <w:noProof/>
          <w:color w:val="000000"/>
          <w:lang w:val="mk-MK" w:eastAsia="en-GB"/>
        </w:rPr>
      </w:pPr>
      <w:r w:rsidRPr="00720ACA">
        <w:rPr>
          <w:rFonts w:ascii="Arial" w:eastAsia="Times New Roman" w:hAnsi="Arial" w:cs="Arial"/>
          <w:b/>
          <w:bCs/>
          <w:noProof/>
          <w:color w:val="000000"/>
          <w:lang w:val="mk-MK" w:eastAsia="en-GB"/>
        </w:rPr>
        <w:t>Оттука, Мрежата за заштита од дискриминација и Платформата за родова еднаквост бараат вметнување на предложените измени во текстот на новиот Закон за работните односи, кои произлегоа од направената анализа. Дополнително, апелираме институциите да водат транспарентен и инклузивен процес, од кој ќе произлезе Предлог-закон што ќе ги вклучи сите релевантни фактори за областа на работните односи, притоа гарантирајќи ги човековите права и слободи на работниците, загарантирани со Уставот на Република Северна Македонија и со меѓународните документи.</w:t>
      </w:r>
    </w:p>
    <w:sectPr w:rsidR="00075F5A" w:rsidRPr="00720AC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E06CF" w14:textId="77777777" w:rsidR="00A152FA" w:rsidRDefault="00A152FA" w:rsidP="0055228B">
      <w:pPr>
        <w:spacing w:after="0" w:line="240" w:lineRule="auto"/>
      </w:pPr>
      <w:r>
        <w:separator/>
      </w:r>
    </w:p>
  </w:endnote>
  <w:endnote w:type="continuationSeparator" w:id="0">
    <w:p w14:paraId="2A48053F" w14:textId="77777777" w:rsidR="00A152FA" w:rsidRDefault="00A152FA" w:rsidP="0055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9B469" w14:textId="77777777" w:rsidR="00A152FA" w:rsidRDefault="00A152FA" w:rsidP="0055228B">
      <w:pPr>
        <w:spacing w:after="0" w:line="240" w:lineRule="auto"/>
      </w:pPr>
      <w:r>
        <w:separator/>
      </w:r>
    </w:p>
  </w:footnote>
  <w:footnote w:type="continuationSeparator" w:id="0">
    <w:p w14:paraId="3C88B130" w14:textId="77777777" w:rsidR="00A152FA" w:rsidRDefault="00A152FA" w:rsidP="0055228B">
      <w:pPr>
        <w:spacing w:after="0" w:line="240" w:lineRule="auto"/>
      </w:pPr>
      <w:r>
        <w:continuationSeparator/>
      </w:r>
    </w:p>
  </w:footnote>
  <w:footnote w:id="1">
    <w:p w14:paraId="3BD7A37D" w14:textId="7BAFD191" w:rsidR="00F04EDF" w:rsidRPr="002D731C" w:rsidRDefault="00F04EDF" w:rsidP="00F04EDF">
      <w:pPr>
        <w:pStyle w:val="FootnoteText"/>
        <w:jc w:val="both"/>
        <w:rPr>
          <w:rFonts w:ascii="Arial" w:hAnsi="Arial" w:cs="Arial"/>
          <w:sz w:val="18"/>
          <w:szCs w:val="18"/>
          <w:lang w:val="mk-MK"/>
        </w:rPr>
      </w:pPr>
      <w:r w:rsidRPr="002D731C">
        <w:rPr>
          <w:rStyle w:val="FootnoteReference"/>
          <w:rFonts w:ascii="Arial" w:hAnsi="Arial" w:cs="Arial"/>
          <w:sz w:val="18"/>
          <w:szCs w:val="18"/>
        </w:rPr>
        <w:footnoteRef/>
      </w:r>
      <w:r w:rsidRPr="002D731C">
        <w:rPr>
          <w:rFonts w:ascii="Arial" w:hAnsi="Arial" w:cs="Arial"/>
          <w:sz w:val="18"/>
          <w:szCs w:val="18"/>
        </w:rPr>
        <w:t xml:space="preserve"> </w:t>
      </w:r>
      <w:r w:rsidRPr="002D731C">
        <w:rPr>
          <w:rFonts w:ascii="Arial" w:hAnsi="Arial" w:cs="Arial"/>
          <w:sz w:val="18"/>
          <w:szCs w:val="18"/>
          <w:lang w:val="mk-MK"/>
        </w:rPr>
        <w:t>Договорот за функционирање на Европската Унија C-326/49 и Директивата 2006/54/EC на Европскиот Парламент и Совет од 5 јули 2006 година.</w:t>
      </w:r>
    </w:p>
  </w:footnote>
  <w:footnote w:id="2">
    <w:p w14:paraId="6D258808" w14:textId="7FEF07CB" w:rsidR="002D731C" w:rsidRPr="00E30BB9" w:rsidRDefault="002D731C" w:rsidP="002D731C">
      <w:pPr>
        <w:pStyle w:val="FootnoteText"/>
        <w:jc w:val="both"/>
        <w:rPr>
          <w:rFonts w:ascii="Arial" w:hAnsi="Arial" w:cs="Arial"/>
          <w:sz w:val="18"/>
          <w:szCs w:val="18"/>
        </w:rPr>
      </w:pPr>
      <w:r w:rsidRPr="002D731C">
        <w:rPr>
          <w:rStyle w:val="FootnoteReference"/>
          <w:rFonts w:ascii="Arial" w:hAnsi="Arial" w:cs="Arial"/>
          <w:sz w:val="18"/>
          <w:szCs w:val="18"/>
        </w:rPr>
        <w:footnoteRef/>
      </w:r>
      <w:r w:rsidR="00E30BB9">
        <w:rPr>
          <w:rFonts w:ascii="Arial" w:hAnsi="Arial" w:cs="Arial"/>
          <w:sz w:val="18"/>
          <w:szCs w:val="18"/>
        </w:rPr>
        <w:t xml:space="preserve"> </w:t>
      </w:r>
      <w:r w:rsidR="00E30BB9">
        <w:rPr>
          <w:rFonts w:ascii="Arial" w:hAnsi="Arial" w:cs="Arial"/>
          <w:sz w:val="18"/>
          <w:szCs w:val="18"/>
          <w:lang w:val="mk-MK"/>
        </w:rPr>
        <w:t xml:space="preserve">Види </w:t>
      </w:r>
      <w:r w:rsidR="00E30BB9">
        <w:rPr>
          <w:rFonts w:ascii="Arial" w:hAnsi="Arial" w:cs="Arial"/>
          <w:sz w:val="18"/>
          <w:szCs w:val="18"/>
          <w:lang w:val="mk-MK"/>
        </w:rPr>
        <w:t xml:space="preserve">и </w:t>
      </w:r>
      <w:r w:rsidRPr="002D731C">
        <w:rPr>
          <w:rFonts w:ascii="Arial" w:hAnsi="Arial" w:cs="Arial"/>
          <w:sz w:val="18"/>
          <w:szCs w:val="18"/>
          <w:lang w:val="mk-MK"/>
        </w:rPr>
        <w:t>Препорака број 2, точка 3 од Техничкиот меморандум на Меѓународната организација на трудот од 2019 година.</w:t>
      </w:r>
    </w:p>
  </w:footnote>
  <w:footnote w:id="3">
    <w:p w14:paraId="635C9D02" w14:textId="77777777" w:rsidR="0060758F" w:rsidRPr="000E4CA3" w:rsidRDefault="0060758F" w:rsidP="0060758F">
      <w:pPr>
        <w:pStyle w:val="FootnoteText"/>
        <w:rPr>
          <w:lang w:val="mk-MK"/>
        </w:rPr>
      </w:pPr>
      <w:r>
        <w:rPr>
          <w:rStyle w:val="FootnoteReference"/>
        </w:rPr>
        <w:footnoteRef/>
      </w:r>
      <w:r>
        <w:t xml:space="preserve"> </w:t>
      </w:r>
      <w:r>
        <w:rPr>
          <w:lang w:val="mk-MK"/>
        </w:rPr>
        <w:t xml:space="preserve">Конвенција </w:t>
      </w:r>
      <w:r>
        <w:rPr>
          <w:lang w:val="mk-MK"/>
        </w:rPr>
        <w:t xml:space="preserve">бр.100 на МОТ за еднакво плаќање, од 1951 година, </w:t>
      </w:r>
      <w:hyperlink r:id="rId1" w:history="1">
        <w:r w:rsidRPr="00AB6A32">
          <w:rPr>
            <w:rStyle w:val="Hyperlink"/>
            <w:lang w:val="mk-MK"/>
          </w:rPr>
          <w:t>https://www.ilo.org/dyn/normlex/en/f?p=NORMLEXPUB:12100:0::NO::P12100_INSTRUMENT_ID:312245</w:t>
        </w:r>
      </w:hyperlink>
      <w:r>
        <w:rPr>
          <w:lang w:val="mk-MK"/>
        </w:rPr>
        <w:t xml:space="preserve">. </w:t>
      </w:r>
    </w:p>
  </w:footnote>
  <w:footnote w:id="4">
    <w:p w14:paraId="4C1F5FF9" w14:textId="77777777" w:rsidR="00720ACA" w:rsidRPr="002D731C" w:rsidRDefault="00720ACA" w:rsidP="00720ACA">
      <w:pPr>
        <w:pStyle w:val="FootnoteText"/>
        <w:rPr>
          <w:rFonts w:ascii="Arial" w:hAnsi="Arial" w:cs="Arial"/>
          <w:sz w:val="18"/>
          <w:szCs w:val="18"/>
          <w:lang w:val="mk-MK"/>
        </w:rPr>
      </w:pPr>
      <w:r w:rsidRPr="002D731C">
        <w:rPr>
          <w:rStyle w:val="FootnoteReference"/>
          <w:rFonts w:ascii="Arial" w:hAnsi="Arial" w:cs="Arial"/>
          <w:sz w:val="18"/>
          <w:szCs w:val="18"/>
        </w:rPr>
        <w:footnoteRef/>
      </w:r>
      <w:r w:rsidRPr="002D731C">
        <w:rPr>
          <w:rFonts w:ascii="Arial" w:hAnsi="Arial" w:cs="Arial"/>
          <w:sz w:val="18"/>
          <w:szCs w:val="18"/>
        </w:rPr>
        <w:t xml:space="preserve"> </w:t>
      </w:r>
      <w:r w:rsidRPr="002D731C">
        <w:rPr>
          <w:rFonts w:ascii="Arial" w:hAnsi="Arial" w:cs="Arial"/>
          <w:sz w:val="18"/>
          <w:szCs w:val="18"/>
          <w:lang w:val="mk-MK"/>
        </w:rPr>
        <w:t xml:space="preserve">Види </w:t>
      </w:r>
      <w:r w:rsidRPr="002D731C">
        <w:rPr>
          <w:rFonts w:ascii="Arial" w:hAnsi="Arial" w:cs="Arial"/>
          <w:sz w:val="18"/>
          <w:szCs w:val="18"/>
          <w:lang w:val="mk-MK"/>
        </w:rPr>
        <w:t xml:space="preserve">повеќе на </w:t>
      </w:r>
      <w:hyperlink r:id="rId2" w:history="1">
        <w:r w:rsidRPr="002D731C">
          <w:rPr>
            <w:rStyle w:val="Hyperlink"/>
            <w:rFonts w:ascii="Arial" w:hAnsi="Arial" w:cs="Arial"/>
            <w:sz w:val="18"/>
            <w:szCs w:val="18"/>
            <w:lang w:val="mk-MK"/>
          </w:rPr>
          <w:t>https://www.consilium.europa.eu/en/policies/pay-transparency/</w:t>
        </w:r>
      </w:hyperlink>
      <w:r w:rsidRPr="002D731C">
        <w:rPr>
          <w:rFonts w:ascii="Arial" w:hAnsi="Arial" w:cs="Arial"/>
          <w:sz w:val="18"/>
          <w:szCs w:val="18"/>
          <w:lang w:val="mk-MK"/>
        </w:rPr>
        <w:t xml:space="preserve"> и </w:t>
      </w:r>
      <w:hyperlink r:id="rId3" w:history="1">
        <w:r w:rsidRPr="002D731C">
          <w:rPr>
            <w:rStyle w:val="Hyperlink"/>
            <w:rFonts w:ascii="Arial" w:hAnsi="Arial" w:cs="Arial"/>
            <w:sz w:val="18"/>
            <w:szCs w:val="18"/>
            <w:lang w:val="mk-MK"/>
          </w:rPr>
          <w:t>https://ec.europa.eu/commission/presscorner/detail/en/ip_22_7739</w:t>
        </w:r>
      </w:hyperlink>
      <w:r w:rsidRPr="002D731C">
        <w:rPr>
          <w:rFonts w:ascii="Arial" w:hAnsi="Arial" w:cs="Arial"/>
          <w:sz w:val="18"/>
          <w:szCs w:val="18"/>
          <w:lang w:val="mk-MK"/>
        </w:rPr>
        <w:t xml:space="preserve">. </w:t>
      </w:r>
    </w:p>
  </w:footnote>
  <w:footnote w:id="5">
    <w:p w14:paraId="3F4917A6" w14:textId="77777777" w:rsidR="00720ACA" w:rsidRPr="00396B09" w:rsidRDefault="00720ACA" w:rsidP="00720ACA">
      <w:pPr>
        <w:pStyle w:val="FootnoteText"/>
        <w:rPr>
          <w:lang w:val="mk-MK"/>
        </w:rPr>
      </w:pPr>
      <w:r>
        <w:rPr>
          <w:rStyle w:val="FootnoteReference"/>
        </w:rPr>
        <w:footnoteRef/>
      </w:r>
      <w:r>
        <w:t xml:space="preserve"> </w:t>
      </w:r>
      <w:r>
        <w:rPr>
          <w:lang w:val="mk-MK"/>
        </w:rPr>
        <w:t xml:space="preserve">Види </w:t>
      </w:r>
      <w:r>
        <w:rPr>
          <w:lang w:val="mk-MK"/>
        </w:rPr>
        <w:t xml:space="preserve">повеќе на </w:t>
      </w:r>
      <w:hyperlink r:id="rId4" w:history="1">
        <w:r w:rsidRPr="00AB6A32">
          <w:rPr>
            <w:rStyle w:val="Hyperlink"/>
            <w:lang w:val="mk-MK"/>
          </w:rPr>
          <w:t>https://www.ilo.org/declaration/info/publications/eliminationofdiscrimination/WCMS_122372/lang--en/index.htm</w:t>
        </w:r>
      </w:hyperlink>
      <w:r>
        <w:rPr>
          <w:lang w:val="mk-M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5429" w14:textId="699D8968" w:rsidR="00630516" w:rsidRPr="00630516" w:rsidRDefault="00630516">
    <w:pPr>
      <w:pStyle w:val="Header"/>
      <w:rPr>
        <w:lang w:val="mk-MK"/>
      </w:rPr>
    </w:pPr>
    <w:r>
      <w:rPr>
        <w:noProof/>
      </w:rPr>
      <w:drawing>
        <wp:anchor distT="0" distB="0" distL="114300" distR="114300" simplePos="0" relativeHeight="251661312" behindDoc="1" locked="0" layoutInCell="1" allowOverlap="1" wp14:anchorId="6A6B8BB1" wp14:editId="0F99D850">
          <wp:simplePos x="0" y="0"/>
          <wp:positionH relativeFrom="column">
            <wp:posOffset>4121150</wp:posOffset>
          </wp:positionH>
          <wp:positionV relativeFrom="paragraph">
            <wp:posOffset>-261620</wp:posOffset>
          </wp:positionV>
          <wp:extent cx="1816735" cy="597535"/>
          <wp:effectExtent l="0" t="0" r="0" b="0"/>
          <wp:wrapNone/>
          <wp:docPr id="16" name="Picture 1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597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3B5FC46" wp14:editId="3DCFC7D6">
          <wp:simplePos x="0" y="0"/>
          <wp:positionH relativeFrom="column">
            <wp:posOffset>6350</wp:posOffset>
          </wp:positionH>
          <wp:positionV relativeFrom="paragraph">
            <wp:posOffset>-210185</wp:posOffset>
          </wp:positionV>
          <wp:extent cx="2273935" cy="542290"/>
          <wp:effectExtent l="0" t="0" r="0" b="0"/>
          <wp:wrapNone/>
          <wp:docPr id="17" name="Picture 1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3935" cy="542290"/>
                  </a:xfrm>
                  <a:prstGeom prst="rect">
                    <a:avLst/>
                  </a:prstGeom>
                  <a:noFill/>
                </pic:spPr>
              </pic:pic>
            </a:graphicData>
          </a:graphic>
          <wp14:sizeRelH relativeFrom="page">
            <wp14:pctWidth>0</wp14:pctWidth>
          </wp14:sizeRelH>
          <wp14:sizeRelV relativeFrom="page">
            <wp14:pctHeight>0</wp14:pctHeight>
          </wp14:sizeRelV>
        </wp:anchor>
      </w:drawing>
    </w:r>
    <w:r>
      <w:rPr>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689"/>
    <w:multiLevelType w:val="multilevel"/>
    <w:tmpl w:val="0BCCD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E01C5"/>
    <w:multiLevelType w:val="multilevel"/>
    <w:tmpl w:val="FED4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24989"/>
    <w:multiLevelType w:val="multilevel"/>
    <w:tmpl w:val="9172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92127"/>
    <w:multiLevelType w:val="multilevel"/>
    <w:tmpl w:val="05B41D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0D3B82"/>
    <w:multiLevelType w:val="multilevel"/>
    <w:tmpl w:val="51E4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75B51"/>
    <w:multiLevelType w:val="multilevel"/>
    <w:tmpl w:val="F8F8F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54577"/>
    <w:multiLevelType w:val="multilevel"/>
    <w:tmpl w:val="26CA7C38"/>
    <w:lvl w:ilvl="0">
      <w:start w:val="1"/>
      <w:numFmt w:val="decimal"/>
      <w:lvlText w:val="%1."/>
      <w:lvlJc w:val="left"/>
      <w:pPr>
        <w:tabs>
          <w:tab w:val="num" w:pos="720"/>
        </w:tabs>
        <w:ind w:left="720" w:hanging="360"/>
      </w:pPr>
      <w:rPr>
        <w:rFonts w:ascii="Arial" w:hAnsi="Arial" w:cs="Aria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63A70"/>
    <w:multiLevelType w:val="multilevel"/>
    <w:tmpl w:val="570C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A1E9B"/>
    <w:multiLevelType w:val="multilevel"/>
    <w:tmpl w:val="C4C658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0206A"/>
    <w:multiLevelType w:val="multilevel"/>
    <w:tmpl w:val="7468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E524F"/>
    <w:multiLevelType w:val="multilevel"/>
    <w:tmpl w:val="C3B69E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76140A"/>
    <w:multiLevelType w:val="multilevel"/>
    <w:tmpl w:val="13F2AB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FA5EF7"/>
    <w:multiLevelType w:val="hybridMultilevel"/>
    <w:tmpl w:val="012AD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094375"/>
    <w:multiLevelType w:val="multilevel"/>
    <w:tmpl w:val="80A810EA"/>
    <w:lvl w:ilvl="0">
      <w:start w:val="1"/>
      <w:numFmt w:val="decimal"/>
      <w:lvlText w:val="%1."/>
      <w:lvlJc w:val="left"/>
      <w:pPr>
        <w:tabs>
          <w:tab w:val="num" w:pos="720"/>
        </w:tabs>
        <w:ind w:left="720" w:hanging="360"/>
      </w:pPr>
      <w:rPr>
        <w:rFonts w:ascii="Arial" w:hAnsi="Arial" w:cs="Arial" w:hint="default"/>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8247BE"/>
    <w:multiLevelType w:val="multilevel"/>
    <w:tmpl w:val="28F6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414289"/>
    <w:multiLevelType w:val="multilevel"/>
    <w:tmpl w:val="A63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86830"/>
    <w:multiLevelType w:val="multilevel"/>
    <w:tmpl w:val="B288C0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lvlOverride w:ilvl="0">
      <w:lvl w:ilvl="0">
        <w:numFmt w:val="decimal"/>
        <w:lvlText w:val="%1."/>
        <w:lvlJc w:val="left"/>
      </w:lvl>
    </w:lvlOverride>
  </w:num>
  <w:num w:numId="3">
    <w:abstractNumId w:val="15"/>
  </w:num>
  <w:num w:numId="4">
    <w:abstractNumId w:val="8"/>
    <w:lvlOverride w:ilvl="0">
      <w:lvl w:ilvl="0">
        <w:numFmt w:val="decimal"/>
        <w:lvlText w:val="%1."/>
        <w:lvlJc w:val="left"/>
      </w:lvl>
    </w:lvlOverride>
  </w:num>
  <w:num w:numId="5">
    <w:abstractNumId w:val="3"/>
    <w:lvlOverride w:ilvl="0">
      <w:lvl w:ilvl="0">
        <w:numFmt w:val="decimal"/>
        <w:lvlText w:val="%1."/>
        <w:lvlJc w:val="left"/>
      </w:lvl>
    </w:lvlOverride>
  </w:num>
  <w:num w:numId="6">
    <w:abstractNumId w:val="9"/>
  </w:num>
  <w:num w:numId="7">
    <w:abstractNumId w:val="16"/>
    <w:lvlOverride w:ilvl="0">
      <w:lvl w:ilvl="0">
        <w:numFmt w:val="decimal"/>
        <w:lvlText w:val="%1."/>
        <w:lvlJc w:val="left"/>
      </w:lvl>
    </w:lvlOverride>
  </w:num>
  <w:num w:numId="8">
    <w:abstractNumId w:val="2"/>
  </w:num>
  <w:num w:numId="9">
    <w:abstractNumId w:val="0"/>
    <w:lvlOverride w:ilvl="0">
      <w:lvl w:ilvl="0">
        <w:numFmt w:val="decimal"/>
        <w:lvlText w:val="%1."/>
        <w:lvlJc w:val="left"/>
      </w:lvl>
    </w:lvlOverride>
  </w:num>
  <w:num w:numId="10">
    <w:abstractNumId w:val="1"/>
  </w:num>
  <w:num w:numId="11">
    <w:abstractNumId w:val="11"/>
    <w:lvlOverride w:ilvl="0">
      <w:lvl w:ilvl="0">
        <w:numFmt w:val="decimal"/>
        <w:lvlText w:val="%1."/>
        <w:lvlJc w:val="left"/>
      </w:lvl>
    </w:lvlOverride>
  </w:num>
  <w:num w:numId="12">
    <w:abstractNumId w:val="4"/>
  </w:num>
  <w:num w:numId="13">
    <w:abstractNumId w:val="10"/>
    <w:lvlOverride w:ilvl="0">
      <w:lvl w:ilvl="0">
        <w:numFmt w:val="decimal"/>
        <w:lvlText w:val="%1."/>
        <w:lvlJc w:val="left"/>
      </w:lvl>
    </w:lvlOverride>
  </w:num>
  <w:num w:numId="14">
    <w:abstractNumId w:val="14"/>
  </w:num>
  <w:num w:numId="15">
    <w:abstractNumId w:val="1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77"/>
    <w:rsid w:val="0001138E"/>
    <w:rsid w:val="00027DA9"/>
    <w:rsid w:val="000451D7"/>
    <w:rsid w:val="0010599E"/>
    <w:rsid w:val="001A3B4C"/>
    <w:rsid w:val="001E5CF2"/>
    <w:rsid w:val="001F10CE"/>
    <w:rsid w:val="002219F6"/>
    <w:rsid w:val="00274015"/>
    <w:rsid w:val="002D731C"/>
    <w:rsid w:val="00305BA0"/>
    <w:rsid w:val="00397779"/>
    <w:rsid w:val="003F3C77"/>
    <w:rsid w:val="00473C39"/>
    <w:rsid w:val="004808B8"/>
    <w:rsid w:val="004A064D"/>
    <w:rsid w:val="004E0E1F"/>
    <w:rsid w:val="004E18B3"/>
    <w:rsid w:val="004F43F5"/>
    <w:rsid w:val="0050411B"/>
    <w:rsid w:val="005109A7"/>
    <w:rsid w:val="005230F5"/>
    <w:rsid w:val="00525F0C"/>
    <w:rsid w:val="0055228B"/>
    <w:rsid w:val="0060758F"/>
    <w:rsid w:val="00630516"/>
    <w:rsid w:val="006355B2"/>
    <w:rsid w:val="006A39C2"/>
    <w:rsid w:val="006F1F61"/>
    <w:rsid w:val="00717F31"/>
    <w:rsid w:val="00720ACA"/>
    <w:rsid w:val="0082117F"/>
    <w:rsid w:val="00862619"/>
    <w:rsid w:val="00885F98"/>
    <w:rsid w:val="008A0464"/>
    <w:rsid w:val="008C632F"/>
    <w:rsid w:val="008E1150"/>
    <w:rsid w:val="00975EF2"/>
    <w:rsid w:val="009F420E"/>
    <w:rsid w:val="00A152FA"/>
    <w:rsid w:val="00AD3291"/>
    <w:rsid w:val="00B20B6E"/>
    <w:rsid w:val="00B619C8"/>
    <w:rsid w:val="00B96D96"/>
    <w:rsid w:val="00C74D17"/>
    <w:rsid w:val="00CE762C"/>
    <w:rsid w:val="00CF57A7"/>
    <w:rsid w:val="00D20B4F"/>
    <w:rsid w:val="00D35B99"/>
    <w:rsid w:val="00D3606E"/>
    <w:rsid w:val="00DB31D3"/>
    <w:rsid w:val="00E15662"/>
    <w:rsid w:val="00E30BB9"/>
    <w:rsid w:val="00E93EB5"/>
    <w:rsid w:val="00E95806"/>
    <w:rsid w:val="00F04EDF"/>
    <w:rsid w:val="00F222C8"/>
    <w:rsid w:val="00F23BB6"/>
    <w:rsid w:val="00F64B38"/>
    <w:rsid w:val="00F77C36"/>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E131"/>
  <w15:chartTrackingRefBased/>
  <w15:docId w15:val="{863FA1EC-7798-4C67-A5EB-3A85D0F7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C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3C77"/>
    <w:pPr>
      <w:ind w:left="720"/>
      <w:contextualSpacing/>
    </w:pPr>
  </w:style>
  <w:style w:type="character" w:styleId="CommentReference">
    <w:name w:val="annotation reference"/>
    <w:basedOn w:val="DefaultParagraphFont"/>
    <w:uiPriority w:val="99"/>
    <w:semiHidden/>
    <w:unhideWhenUsed/>
    <w:rsid w:val="0055228B"/>
    <w:rPr>
      <w:sz w:val="16"/>
      <w:szCs w:val="16"/>
    </w:rPr>
  </w:style>
  <w:style w:type="paragraph" w:styleId="CommentText">
    <w:name w:val="annotation text"/>
    <w:basedOn w:val="Normal"/>
    <w:link w:val="CommentTextChar"/>
    <w:uiPriority w:val="99"/>
    <w:semiHidden/>
    <w:unhideWhenUsed/>
    <w:rsid w:val="0055228B"/>
    <w:pPr>
      <w:spacing w:line="240" w:lineRule="auto"/>
      <w:jc w:val="both"/>
    </w:pPr>
    <w:rPr>
      <w:rFonts w:ascii="Cambria" w:hAnsi="Cambria"/>
      <w:sz w:val="20"/>
      <w:szCs w:val="20"/>
    </w:rPr>
  </w:style>
  <w:style w:type="character" w:customStyle="1" w:styleId="CommentTextChar">
    <w:name w:val="Comment Text Char"/>
    <w:basedOn w:val="DefaultParagraphFont"/>
    <w:link w:val="CommentText"/>
    <w:uiPriority w:val="99"/>
    <w:semiHidden/>
    <w:rsid w:val="0055228B"/>
    <w:rPr>
      <w:rFonts w:ascii="Cambria" w:hAnsi="Cambria"/>
      <w:sz w:val="20"/>
      <w:szCs w:val="20"/>
    </w:rPr>
  </w:style>
  <w:style w:type="paragraph" w:styleId="BalloonText">
    <w:name w:val="Balloon Text"/>
    <w:basedOn w:val="Normal"/>
    <w:link w:val="BalloonTextChar"/>
    <w:uiPriority w:val="99"/>
    <w:semiHidden/>
    <w:unhideWhenUsed/>
    <w:rsid w:val="00552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28B"/>
    <w:rPr>
      <w:rFonts w:ascii="Segoe UI" w:hAnsi="Segoe UI" w:cs="Segoe UI"/>
      <w:sz w:val="18"/>
      <w:szCs w:val="18"/>
    </w:rPr>
  </w:style>
  <w:style w:type="paragraph" w:styleId="FootnoteText">
    <w:name w:val="footnote text"/>
    <w:basedOn w:val="Normal"/>
    <w:link w:val="FootnoteTextChar"/>
    <w:uiPriority w:val="99"/>
    <w:semiHidden/>
    <w:unhideWhenUsed/>
    <w:rsid w:val="005522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28B"/>
    <w:rPr>
      <w:sz w:val="20"/>
      <w:szCs w:val="20"/>
    </w:rPr>
  </w:style>
  <w:style w:type="character" w:styleId="FootnoteReference">
    <w:name w:val="footnote reference"/>
    <w:basedOn w:val="DefaultParagraphFont"/>
    <w:uiPriority w:val="99"/>
    <w:semiHidden/>
    <w:unhideWhenUsed/>
    <w:rsid w:val="0055228B"/>
    <w:rPr>
      <w:vertAlign w:val="superscript"/>
    </w:rPr>
  </w:style>
  <w:style w:type="character" w:styleId="Hyperlink">
    <w:name w:val="Hyperlink"/>
    <w:basedOn w:val="DefaultParagraphFont"/>
    <w:uiPriority w:val="99"/>
    <w:unhideWhenUsed/>
    <w:rsid w:val="0055228B"/>
    <w:rPr>
      <w:color w:val="0563C1" w:themeColor="hyperlink"/>
      <w:u w:val="single"/>
    </w:rPr>
  </w:style>
  <w:style w:type="paragraph" w:styleId="Header">
    <w:name w:val="header"/>
    <w:basedOn w:val="Normal"/>
    <w:link w:val="HeaderChar"/>
    <w:uiPriority w:val="99"/>
    <w:unhideWhenUsed/>
    <w:rsid w:val="00630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16"/>
  </w:style>
  <w:style w:type="paragraph" w:styleId="Footer">
    <w:name w:val="footer"/>
    <w:basedOn w:val="Normal"/>
    <w:link w:val="FooterChar"/>
    <w:uiPriority w:val="99"/>
    <w:unhideWhenUsed/>
    <w:rsid w:val="00630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presscorner/detail/en/ip_22_7739" TargetMode="External"/><Relationship Id="rId2" Type="http://schemas.openxmlformats.org/officeDocument/2006/relationships/hyperlink" Target="https://www.consilium.europa.eu/en/policies/pay-transparency/" TargetMode="External"/><Relationship Id="rId1" Type="http://schemas.openxmlformats.org/officeDocument/2006/relationships/hyperlink" Target="https://www.ilo.org/dyn/normlex/en/f?p=NORMLEXPUB:12100:0::NO::P12100_INSTRUMENT_ID:312245" TargetMode="External"/><Relationship Id="rId4" Type="http://schemas.openxmlformats.org/officeDocument/2006/relationships/hyperlink" Target="https://www.ilo.org/declaration/info/publications/eliminationofdiscrimination/WCMS_122372/lang--en/index.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E421-FEE9-4819-BDF3-274CAA02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Petkovska</dc:creator>
  <cp:keywords/>
  <dc:description/>
  <cp:lastModifiedBy>Pavlina Simonoska</cp:lastModifiedBy>
  <cp:revision>2</cp:revision>
  <dcterms:created xsi:type="dcterms:W3CDTF">2023-02-06T10:20:00Z</dcterms:created>
  <dcterms:modified xsi:type="dcterms:W3CDTF">2023-02-06T10:20:00Z</dcterms:modified>
</cp:coreProperties>
</file>