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316" w:rsidRDefault="00D10316" w:rsidP="00AB1F17">
      <w:pPr>
        <w:spacing w:after="0" w:line="276" w:lineRule="auto"/>
        <w:ind w:left="10" w:right="95" w:hanging="10"/>
        <w:jc w:val="center"/>
        <w:rPr>
          <w:rFonts w:ascii="Arial Narrow" w:hAnsi="Arial Narrow" w:cs="Times New Roman"/>
          <w:b/>
          <w:sz w:val="24"/>
        </w:rPr>
      </w:pPr>
    </w:p>
    <w:p w:rsidR="006F6DEF" w:rsidRDefault="006F6DEF" w:rsidP="00AB1F17">
      <w:pPr>
        <w:spacing w:after="0" w:line="276" w:lineRule="auto"/>
        <w:ind w:left="10" w:right="95" w:hanging="10"/>
        <w:jc w:val="center"/>
        <w:rPr>
          <w:rFonts w:ascii="Arial Narrow" w:hAnsi="Arial Narrow" w:cs="Times New Roman"/>
          <w:b/>
          <w:sz w:val="24"/>
        </w:rPr>
      </w:pPr>
    </w:p>
    <w:p w:rsidR="00BF56A3" w:rsidRDefault="00BF56A3" w:rsidP="00AB1F17">
      <w:pPr>
        <w:spacing w:after="0" w:line="276" w:lineRule="auto"/>
        <w:ind w:left="10" w:right="95" w:hanging="10"/>
        <w:jc w:val="center"/>
        <w:rPr>
          <w:rFonts w:ascii="Arial Narrow" w:hAnsi="Arial Narrow" w:cs="Times New Roman"/>
          <w:b/>
          <w:sz w:val="24"/>
        </w:rPr>
      </w:pPr>
      <w:r w:rsidRPr="00AB1F17">
        <w:rPr>
          <w:rFonts w:ascii="Arial Narrow" w:hAnsi="Arial Narrow" w:cs="Times New Roman"/>
          <w:b/>
          <w:sz w:val="24"/>
        </w:rPr>
        <w:t>РЕАКЦИЈА ВО ВРСКА СО ПРЕДЛОГ ЗАКОНОТ ЗА ПРЕИСПИТУВАЊЕ НА ФАКТИ И ДОКАЗИ КОРИСТЕНИ ВО СУДСКА ПОСТАПКА</w:t>
      </w:r>
    </w:p>
    <w:p w:rsidR="00AE17C6" w:rsidRPr="00AB1F17" w:rsidRDefault="00AE17C6" w:rsidP="00AB1F17">
      <w:pPr>
        <w:spacing w:after="0" w:line="276" w:lineRule="auto"/>
        <w:ind w:left="10" w:right="95" w:hanging="10"/>
        <w:jc w:val="center"/>
        <w:rPr>
          <w:rFonts w:ascii="Arial Narrow" w:hAnsi="Arial Narrow" w:cs="Times New Roman"/>
          <w:b/>
          <w:sz w:val="24"/>
        </w:rPr>
      </w:pPr>
    </w:p>
    <w:p w:rsidR="00CE546D" w:rsidRDefault="00AE17C6" w:rsidP="00AE17C6">
      <w:pPr>
        <w:spacing w:after="120" w:line="276" w:lineRule="auto"/>
        <w:jc w:val="both"/>
        <w:rPr>
          <w:rFonts w:ascii="Arial Narrow" w:hAnsi="Arial Narrow" w:cs="Times New Roman"/>
          <w:b/>
          <w:i/>
          <w:sz w:val="24"/>
        </w:rPr>
      </w:pPr>
      <w:proofErr w:type="spellStart"/>
      <w:r w:rsidRPr="00AE17C6">
        <w:rPr>
          <w:rFonts w:ascii="Arial Narrow" w:hAnsi="Arial Narrow" w:cs="Times New Roman"/>
          <w:b/>
          <w:i/>
          <w:sz w:val="24"/>
        </w:rPr>
        <w:t>Блупринт</w:t>
      </w:r>
      <w:proofErr w:type="spellEnd"/>
      <w:r w:rsidRPr="00AE17C6">
        <w:rPr>
          <w:rFonts w:ascii="Arial Narrow" w:hAnsi="Arial Narrow" w:cs="Times New Roman"/>
          <w:b/>
          <w:i/>
          <w:sz w:val="24"/>
        </w:rPr>
        <w:t>: Бараме повлекување на Предлог-Законот за преиспитување на факти и докази користени во судска постапка бидејќи истиот создава правна несигурност и го нарушува принципот на владеење на правото</w:t>
      </w:r>
    </w:p>
    <w:p w:rsidR="00AE17C6" w:rsidRDefault="00AE17C6" w:rsidP="00AE17C6">
      <w:pPr>
        <w:spacing w:after="120" w:line="276" w:lineRule="auto"/>
        <w:jc w:val="right"/>
        <w:rPr>
          <w:rFonts w:ascii="Arial Narrow" w:hAnsi="Arial Narrow" w:cs="Times New Roman"/>
          <w:sz w:val="24"/>
        </w:rPr>
      </w:pPr>
      <w:r w:rsidRPr="00AE17C6">
        <w:rPr>
          <w:rFonts w:ascii="Arial Narrow" w:hAnsi="Arial Narrow" w:cs="Times New Roman"/>
          <w:sz w:val="24"/>
        </w:rPr>
        <w:t>Скопје, 26 април 2021</w:t>
      </w:r>
    </w:p>
    <w:p w:rsidR="001338EF" w:rsidRPr="00AE17C6" w:rsidRDefault="001338EF" w:rsidP="00AE17C6">
      <w:pPr>
        <w:spacing w:after="120" w:line="276" w:lineRule="auto"/>
        <w:jc w:val="right"/>
        <w:rPr>
          <w:rFonts w:ascii="Arial Narrow" w:hAnsi="Arial Narrow" w:cs="Times New Roman"/>
          <w:sz w:val="24"/>
        </w:rPr>
      </w:pPr>
      <w:bookmarkStart w:id="0" w:name="_GoBack"/>
      <w:bookmarkEnd w:id="0"/>
    </w:p>
    <w:p w:rsidR="00AB1F17" w:rsidRPr="00AB1F17" w:rsidRDefault="00AB1F17" w:rsidP="006D204B">
      <w:pPr>
        <w:spacing w:after="120" w:line="276" w:lineRule="auto"/>
        <w:jc w:val="both"/>
        <w:rPr>
          <w:rFonts w:ascii="Arial Narrow" w:hAnsi="Arial Narrow" w:cs="Times New Roman"/>
          <w:sz w:val="24"/>
        </w:rPr>
      </w:pPr>
      <w:r w:rsidRPr="00AB1F17">
        <w:rPr>
          <w:rFonts w:ascii="Arial Narrow" w:hAnsi="Arial Narrow" w:cs="Times New Roman"/>
          <w:sz w:val="24"/>
        </w:rPr>
        <w:t xml:space="preserve">На </w:t>
      </w:r>
      <w:r w:rsidR="006D204B">
        <w:rPr>
          <w:rFonts w:ascii="Arial Narrow" w:hAnsi="Arial Narrow" w:cs="Times New Roman"/>
          <w:sz w:val="24"/>
          <w:lang w:val="en-US"/>
        </w:rPr>
        <w:t>27</w:t>
      </w:r>
      <w:r w:rsidR="00AE17C6">
        <w:rPr>
          <w:rFonts w:ascii="Arial Narrow" w:hAnsi="Arial Narrow" w:cs="Times New Roman"/>
          <w:sz w:val="24"/>
        </w:rPr>
        <w:t xml:space="preserve"> април </w:t>
      </w:r>
      <w:r w:rsidRPr="00AB1F17">
        <w:rPr>
          <w:rFonts w:ascii="Arial Narrow" w:hAnsi="Arial Narrow" w:cs="Times New Roman"/>
          <w:sz w:val="24"/>
        </w:rPr>
        <w:t>202</w:t>
      </w:r>
      <w:r w:rsidR="006D204B">
        <w:rPr>
          <w:rFonts w:ascii="Arial Narrow" w:hAnsi="Arial Narrow" w:cs="Times New Roman"/>
          <w:sz w:val="24"/>
          <w:lang w:val="en-US"/>
        </w:rPr>
        <w:t>1</w:t>
      </w:r>
      <w:r w:rsidRPr="00AB1F17">
        <w:rPr>
          <w:rFonts w:ascii="Arial Narrow" w:hAnsi="Arial Narrow" w:cs="Times New Roman"/>
          <w:sz w:val="24"/>
        </w:rPr>
        <w:t xml:space="preserve"> година</w:t>
      </w:r>
      <w:r w:rsidR="006D204B">
        <w:rPr>
          <w:rFonts w:ascii="Arial Narrow" w:hAnsi="Arial Narrow" w:cs="Times New Roman"/>
          <w:sz w:val="24"/>
        </w:rPr>
        <w:t xml:space="preserve"> на разгледување пред К</w:t>
      </w:r>
      <w:r w:rsidR="006D204B" w:rsidRPr="006D204B">
        <w:rPr>
          <w:rFonts w:ascii="Arial Narrow" w:hAnsi="Arial Narrow" w:cs="Times New Roman"/>
          <w:sz w:val="24"/>
        </w:rPr>
        <w:t>омисија</w:t>
      </w:r>
      <w:r w:rsidR="006D204B">
        <w:rPr>
          <w:rFonts w:ascii="Arial Narrow" w:hAnsi="Arial Narrow" w:cs="Times New Roman"/>
          <w:sz w:val="24"/>
        </w:rPr>
        <w:t>та</w:t>
      </w:r>
      <w:r w:rsidR="006D204B" w:rsidRPr="006D204B">
        <w:rPr>
          <w:rFonts w:ascii="Arial Narrow" w:hAnsi="Arial Narrow" w:cs="Times New Roman"/>
          <w:sz w:val="24"/>
        </w:rPr>
        <w:t xml:space="preserve"> за политички систем и односи меѓу заедниците</w:t>
      </w:r>
      <w:r w:rsidR="006D204B">
        <w:rPr>
          <w:rFonts w:ascii="Arial Narrow" w:hAnsi="Arial Narrow" w:cs="Times New Roman"/>
          <w:sz w:val="24"/>
        </w:rPr>
        <w:t xml:space="preserve"> на Собранието на Република Македонија во прво читање е </w:t>
      </w:r>
      <w:hyperlink r:id="rId8" w:history="1">
        <w:proofErr w:type="spellStart"/>
        <w:r w:rsidRPr="00AB1F17">
          <w:rPr>
            <w:rStyle w:val="Hyperlink"/>
            <w:rFonts w:ascii="Arial Narrow" w:hAnsi="Arial Narrow" w:cs="Times New Roman"/>
            <w:color w:val="0070C0"/>
            <w:sz w:val="24"/>
          </w:rPr>
          <w:t>Предлог-Закон</w:t>
        </w:r>
        <w:proofErr w:type="spellEnd"/>
        <w:r w:rsidRPr="00AB1F17">
          <w:rPr>
            <w:rStyle w:val="Hyperlink"/>
            <w:rFonts w:ascii="Arial Narrow" w:hAnsi="Arial Narrow" w:cs="Times New Roman"/>
            <w:color w:val="0070C0"/>
            <w:sz w:val="24"/>
          </w:rPr>
          <w:t xml:space="preserve"> за преиспитување на факти и докази користени во судска постапка</w:t>
        </w:r>
      </w:hyperlink>
      <w:r w:rsidR="006D204B">
        <w:rPr>
          <w:rFonts w:ascii="Arial Narrow" w:hAnsi="Arial Narrow" w:cs="Times New Roman"/>
          <w:sz w:val="24"/>
        </w:rPr>
        <w:t xml:space="preserve"> предложен од група пратеници. Со предлог-законот </w:t>
      </w:r>
      <w:r w:rsidRPr="00AB1F17">
        <w:rPr>
          <w:rFonts w:ascii="Arial Narrow" w:hAnsi="Arial Narrow" w:cs="Times New Roman"/>
          <w:sz w:val="24"/>
        </w:rPr>
        <w:t>се создаваат можности за повторување на постапката, доколку судската одлука од постапката се заснова на повреда на начелото презумпција на невиност, користени се разговори од незаконито пресретнување на системите за комуникација, злоупотреба на посебната истражна мерка заштитен сведок, злоупотреба на системот за распределба на судски предмети (АКМИС) и во други случаи на фабрикување или монтирање на факти и докази.</w:t>
      </w:r>
    </w:p>
    <w:p w:rsidR="00AB1F17" w:rsidRPr="00AB1F17" w:rsidRDefault="00D10316" w:rsidP="00D10316">
      <w:pPr>
        <w:spacing w:after="120" w:line="276" w:lineRule="auto"/>
        <w:jc w:val="both"/>
        <w:rPr>
          <w:rFonts w:ascii="Arial Narrow" w:hAnsi="Arial Narrow" w:cs="Times New Roman"/>
          <w:sz w:val="24"/>
        </w:rPr>
      </w:pPr>
      <w:proofErr w:type="spellStart"/>
      <w:r w:rsidRPr="00D10316">
        <w:rPr>
          <w:rFonts w:ascii="Arial Narrow" w:hAnsi="Arial Narrow" w:cs="Times New Roman"/>
          <w:sz w:val="24"/>
        </w:rPr>
        <w:t>Блупринт</w:t>
      </w:r>
      <w:proofErr w:type="spellEnd"/>
      <w:r w:rsidRPr="00D10316">
        <w:rPr>
          <w:rFonts w:ascii="Arial Narrow" w:hAnsi="Arial Narrow" w:cs="Times New Roman"/>
          <w:sz w:val="24"/>
        </w:rPr>
        <w:t xml:space="preserve"> групата за реформи во правосудството следејќи ги актуелните состојби во областа на правосудството би сакала да ја истакне загриженоста во врска со овој предлог закон и врз основа на аргументите во прилог, бараме негово повлекување од собраниска процедура </w:t>
      </w:r>
      <w:r>
        <w:rPr>
          <w:rFonts w:ascii="Arial Narrow" w:hAnsi="Arial Narrow" w:cs="Times New Roman"/>
          <w:sz w:val="24"/>
        </w:rPr>
        <w:t xml:space="preserve">поради следните причини. </w:t>
      </w:r>
    </w:p>
    <w:p w:rsidR="00AB1F17" w:rsidRPr="00AB1F17" w:rsidRDefault="00AB1F17" w:rsidP="00993F17">
      <w:pPr>
        <w:spacing w:after="120" w:line="276" w:lineRule="auto"/>
        <w:jc w:val="both"/>
        <w:rPr>
          <w:rFonts w:ascii="Arial Narrow" w:hAnsi="Arial Narrow" w:cs="Times New Roman"/>
          <w:sz w:val="24"/>
        </w:rPr>
      </w:pPr>
      <w:r w:rsidRPr="00AB1F17">
        <w:rPr>
          <w:rFonts w:ascii="Arial Narrow" w:hAnsi="Arial Narrow" w:cs="Times New Roman"/>
          <w:sz w:val="24"/>
        </w:rPr>
        <w:t xml:space="preserve">Најнапред, делот во кој поднесителот дава оцена на состојбите во областа што треба да се уреди со законот и во кој се тврди дека постои масовност во појавата на грубо кршење на основните и природните човекови права, не е поткрепен со соодветни докази, а од друга страна не се </w:t>
      </w:r>
      <w:r>
        <w:rPr>
          <w:rFonts w:ascii="Arial Narrow" w:hAnsi="Arial Narrow" w:cs="Times New Roman"/>
          <w:sz w:val="24"/>
        </w:rPr>
        <w:t>имаат</w:t>
      </w:r>
      <w:r w:rsidRPr="00AB1F17">
        <w:rPr>
          <w:rFonts w:ascii="Arial Narrow" w:hAnsi="Arial Narrow" w:cs="Times New Roman"/>
          <w:sz w:val="24"/>
        </w:rPr>
        <w:t xml:space="preserve"> предвид постојните правни механизми во националните акти за заштита на овие права (Устав, закони, ЕКЧП и сл.). Предлагачот како причини за потребата од овој закон ги наведува споеноста на партијата со државата, постоење на политички монтирани или мотивирани процеси како и постоењето на политичк</w:t>
      </w:r>
      <w:r>
        <w:rPr>
          <w:rFonts w:ascii="Arial Narrow" w:hAnsi="Arial Narrow" w:cs="Times New Roman"/>
          <w:sz w:val="24"/>
        </w:rPr>
        <w:t>и притвореници или затвореници</w:t>
      </w:r>
      <w:r w:rsidRPr="00AB1F17">
        <w:rPr>
          <w:rFonts w:ascii="Arial Narrow" w:hAnsi="Arial Narrow" w:cs="Times New Roman"/>
          <w:sz w:val="24"/>
        </w:rPr>
        <w:t>, но тие се прашања кои нема да се разрешат со овој или кој било предлог закон ако се нема политичка волја тоа да се стори. По</w:t>
      </w:r>
      <w:r>
        <w:rPr>
          <w:rFonts w:ascii="Arial Narrow" w:hAnsi="Arial Narrow" w:cs="Times New Roman"/>
          <w:sz w:val="24"/>
        </w:rPr>
        <w:t xml:space="preserve">веќе од потребно е да се има </w:t>
      </w:r>
      <w:r w:rsidRPr="00AB1F17">
        <w:rPr>
          <w:rFonts w:ascii="Arial Narrow" w:hAnsi="Arial Narrow" w:cs="Times New Roman"/>
          <w:sz w:val="24"/>
        </w:rPr>
        <w:t>предвид дека постоење на теоретско право е недоволно и неефикасно, и дека е потребна негова практична примена. Владеењето на правото, демократијата, независноста и непристрасноста на судството, примената на бројните стандарди за фер судење, имајќи ги предвид веќе постојните национални  механизми  и инструменти, нема да се оствари само со донесување на овој закон. Напротив, овој закон може  да ја искомплицира и одолговлечи и така веќе долгата постапка.</w:t>
      </w:r>
    </w:p>
    <w:p w:rsidR="00AB1F17" w:rsidRPr="00AB1F17" w:rsidRDefault="00AB1F17" w:rsidP="00993F17">
      <w:pPr>
        <w:spacing w:after="120" w:line="276" w:lineRule="auto"/>
        <w:jc w:val="both"/>
        <w:rPr>
          <w:rFonts w:ascii="Arial Narrow" w:hAnsi="Arial Narrow" w:cs="Times New Roman"/>
          <w:sz w:val="24"/>
        </w:rPr>
      </w:pPr>
      <w:r w:rsidRPr="00AB1F17">
        <w:rPr>
          <w:rFonts w:ascii="Arial Narrow" w:hAnsi="Arial Narrow" w:cs="Times New Roman"/>
          <w:sz w:val="24"/>
        </w:rPr>
        <w:t xml:space="preserve">Мора да напоменеме дека во правото се обесхрабрува носење на ex-post facto закони, односно закони кои ќе важат ретроактивно и ќе се однесуваат на случаи и факти кои се одвивале пред да </w:t>
      </w:r>
      <w:r w:rsidRPr="00AB1F17">
        <w:rPr>
          <w:rFonts w:ascii="Arial Narrow" w:hAnsi="Arial Narrow" w:cs="Times New Roman"/>
          <w:sz w:val="24"/>
        </w:rPr>
        <w:lastRenderedPageBreak/>
        <w:t xml:space="preserve">биде донесен законот, а особено оние кои регулираат делови од кривичната материја. Секако, тоа не значи дека вакви закони не се носат во ниту една држава (тие се генерално застапени во вид на амнестија), но во таа насока е неопходно соодветно образложение за потребата на која законот треба да одговори, како и вкупните последици кои тој закон може да ги има врз правниот систем во целост, особено доколку со истиот практично недискриминирачки може да се посегне кон </w:t>
      </w:r>
      <w:r>
        <w:rPr>
          <w:rFonts w:ascii="Arial Narrow" w:hAnsi="Arial Narrow" w:cs="Times New Roman"/>
          <w:sz w:val="24"/>
        </w:rPr>
        <w:t>кој било</w:t>
      </w:r>
      <w:r w:rsidRPr="00AB1F17">
        <w:rPr>
          <w:rFonts w:ascii="Arial Narrow" w:hAnsi="Arial Narrow" w:cs="Times New Roman"/>
          <w:sz w:val="24"/>
        </w:rPr>
        <w:t xml:space="preserve"> правосилно завршен судски спор и укинување или поништување на сите последици и права кои произлегле од правосилната пресуда. Во таа насока, ваквиот Предлог Закон за преиспитување на факти и докази користени во судска постапка не би можел да се применува ретроактивно, односно не би можел да се применува врз лица кои веќе се правосилно осудени пред истиот Закон да стапи во сила како што истиот предвидува, што значи дека истиот би можел да се применува само за лица кои ќе бидат правосилно осудени по неговото влегување во сила.</w:t>
      </w:r>
    </w:p>
    <w:p w:rsidR="00AB1F17" w:rsidRPr="00AB1F17" w:rsidRDefault="00AB1F17" w:rsidP="00993F17">
      <w:pPr>
        <w:spacing w:after="120" w:line="276" w:lineRule="auto"/>
        <w:jc w:val="both"/>
        <w:rPr>
          <w:rFonts w:ascii="Arial Narrow" w:hAnsi="Arial Narrow" w:cs="Times New Roman"/>
          <w:sz w:val="24"/>
        </w:rPr>
      </w:pPr>
      <w:r w:rsidRPr="00AB1F17">
        <w:rPr>
          <w:rFonts w:ascii="Arial Narrow" w:hAnsi="Arial Narrow" w:cs="Times New Roman"/>
          <w:sz w:val="24"/>
        </w:rPr>
        <w:t xml:space="preserve">Од друга страна, можеме да забележиме во делот Оцена на состојбите во областа што треба да се уреди со законот и причини за негово донесување, подносителот тврди дека „со носењето на еден ваков закон не се создава состојба на поклопување со Законот за кривичната постапка, бидејќи овој закон регулира право на повторување на постапката на правосилно завршени постапки, но само врз основа на дополнително откриени докази кои се основа да се утврди поинаква фактичка состојба од таа која се утврдила во пресудата“. </w:t>
      </w:r>
    </w:p>
    <w:p w:rsidR="00AB1F17" w:rsidRPr="00AB1F17" w:rsidRDefault="00AB1F17" w:rsidP="00993F17">
      <w:pPr>
        <w:spacing w:after="120" w:line="276" w:lineRule="auto"/>
        <w:jc w:val="both"/>
        <w:rPr>
          <w:rFonts w:ascii="Arial Narrow" w:hAnsi="Arial Narrow" w:cs="Times New Roman"/>
          <w:sz w:val="24"/>
        </w:rPr>
      </w:pPr>
      <w:r w:rsidRPr="00AB1F17">
        <w:rPr>
          <w:rFonts w:ascii="Arial Narrow" w:hAnsi="Arial Narrow" w:cs="Times New Roman"/>
          <w:sz w:val="24"/>
        </w:rPr>
        <w:t>Доколку се анализираат одредбите на Законот за кривичната постапка, се забележува дека во суштина, предлог Законот во целост се преклопува со одредбите на ЗКП. Конкретно, член 449 од ЗКП предвидува повторување на постапката во корист на осудениот при што три од основните причини поради кои кривичната постапка завршена со правосилна пресуда може да се повтори со вонреден правен лек, се токму:</w:t>
      </w:r>
    </w:p>
    <w:p w:rsidR="00AB1F17" w:rsidRDefault="00AB1F17" w:rsidP="00993F17">
      <w:pPr>
        <w:pStyle w:val="ListParagraph"/>
        <w:numPr>
          <w:ilvl w:val="0"/>
          <w:numId w:val="3"/>
        </w:numPr>
        <w:spacing w:after="120" w:line="276" w:lineRule="auto"/>
        <w:contextualSpacing w:val="0"/>
        <w:jc w:val="both"/>
        <w:rPr>
          <w:rFonts w:ascii="Arial Narrow" w:hAnsi="Arial Narrow" w:cs="Times New Roman"/>
          <w:sz w:val="24"/>
        </w:rPr>
      </w:pPr>
      <w:r w:rsidRPr="00993F17">
        <w:rPr>
          <w:rFonts w:ascii="Arial Narrow" w:hAnsi="Arial Narrow" w:cs="Times New Roman"/>
          <w:sz w:val="24"/>
        </w:rPr>
        <w:t xml:space="preserve">ако се докаже дека пресудата е заснована врз лажен доказ или лажен исказ на сведокот, вештакот, </w:t>
      </w:r>
      <w:proofErr w:type="spellStart"/>
      <w:r w:rsidRPr="00993F17">
        <w:rPr>
          <w:rFonts w:ascii="Arial Narrow" w:hAnsi="Arial Narrow" w:cs="Times New Roman"/>
          <w:sz w:val="24"/>
        </w:rPr>
        <w:t>толкувачот</w:t>
      </w:r>
      <w:proofErr w:type="spellEnd"/>
      <w:r w:rsidRPr="00993F17">
        <w:rPr>
          <w:rFonts w:ascii="Arial Narrow" w:hAnsi="Arial Narrow" w:cs="Times New Roman"/>
          <w:sz w:val="24"/>
        </w:rPr>
        <w:t xml:space="preserve"> или преведувачот,</w:t>
      </w:r>
    </w:p>
    <w:p w:rsidR="00993F17" w:rsidRDefault="00AB1F17" w:rsidP="00993F17">
      <w:pPr>
        <w:pStyle w:val="ListParagraph"/>
        <w:numPr>
          <w:ilvl w:val="0"/>
          <w:numId w:val="3"/>
        </w:numPr>
        <w:spacing w:after="120" w:line="276" w:lineRule="auto"/>
        <w:contextualSpacing w:val="0"/>
        <w:jc w:val="both"/>
        <w:rPr>
          <w:rFonts w:ascii="Arial Narrow" w:hAnsi="Arial Narrow" w:cs="Times New Roman"/>
          <w:sz w:val="24"/>
        </w:rPr>
      </w:pPr>
      <w:r w:rsidRPr="00993F17">
        <w:rPr>
          <w:rFonts w:ascii="Arial Narrow" w:hAnsi="Arial Narrow" w:cs="Times New Roman"/>
          <w:sz w:val="24"/>
        </w:rPr>
        <w:t>ако се докаже дека до пресудата дошло поради кривично дело на судијата, на судијата поротник или на лице кое ги вршело истражните дејствија; или</w:t>
      </w:r>
    </w:p>
    <w:p w:rsidR="00AB1F17" w:rsidRPr="00993F17" w:rsidRDefault="00AB1F17" w:rsidP="00993F17">
      <w:pPr>
        <w:pStyle w:val="ListParagraph"/>
        <w:numPr>
          <w:ilvl w:val="0"/>
          <w:numId w:val="3"/>
        </w:numPr>
        <w:spacing w:after="120" w:line="276" w:lineRule="auto"/>
        <w:contextualSpacing w:val="0"/>
        <w:jc w:val="both"/>
        <w:rPr>
          <w:rFonts w:ascii="Arial Narrow" w:hAnsi="Arial Narrow" w:cs="Times New Roman"/>
          <w:sz w:val="24"/>
        </w:rPr>
      </w:pPr>
      <w:r w:rsidRPr="00993F17">
        <w:rPr>
          <w:rFonts w:ascii="Arial Narrow" w:hAnsi="Arial Narrow" w:cs="Times New Roman"/>
          <w:sz w:val="24"/>
        </w:rPr>
        <w:t xml:space="preserve">ако се изнесат нови факти или се поднесат нови докази што самите за себе или во врска со поранешните докази се подобни да причинат ослободување на лицето кое било осудено или негова поблага осуда. </w:t>
      </w:r>
    </w:p>
    <w:p w:rsidR="00AB1F17" w:rsidRPr="00AB1F17" w:rsidRDefault="00AB1F17" w:rsidP="00993F17">
      <w:pPr>
        <w:spacing w:after="120" w:line="276" w:lineRule="auto"/>
        <w:jc w:val="both"/>
        <w:rPr>
          <w:rFonts w:ascii="Arial Narrow" w:hAnsi="Arial Narrow" w:cs="Times New Roman"/>
          <w:sz w:val="24"/>
        </w:rPr>
      </w:pPr>
      <w:r w:rsidRPr="00AB1F17">
        <w:rPr>
          <w:rFonts w:ascii="Arial Narrow" w:hAnsi="Arial Narrow" w:cs="Times New Roman"/>
          <w:sz w:val="24"/>
        </w:rPr>
        <w:t>Предлагачот на Законот не дава одговор на прашањето зошто постојниот институт „повторување на постапката“ предвиден во ЗКП не може да ги разреши презентираните проблеми во евентуалните такви предмети и која е додадената вредност на предлог законот во таа насока. Оттука, не би можеле да се согласиме со тврдењето дека ваквата материја не е регулирана во домашното право и одредбите од овој предлог Закон нема да бидат во судир со ЗКП и би сакале да посочиме две можни ситуации:</w:t>
      </w:r>
    </w:p>
    <w:p w:rsidR="00AB1F17" w:rsidRDefault="00AB1F17" w:rsidP="00993F17">
      <w:pPr>
        <w:pStyle w:val="ListParagraph"/>
        <w:numPr>
          <w:ilvl w:val="0"/>
          <w:numId w:val="6"/>
        </w:numPr>
        <w:spacing w:after="120" w:line="276" w:lineRule="auto"/>
        <w:contextualSpacing w:val="0"/>
        <w:jc w:val="both"/>
        <w:rPr>
          <w:rFonts w:ascii="Arial Narrow" w:hAnsi="Arial Narrow" w:cs="Times New Roman"/>
          <w:sz w:val="24"/>
        </w:rPr>
      </w:pPr>
      <w:r w:rsidRPr="00993F17">
        <w:rPr>
          <w:rFonts w:ascii="Arial Narrow" w:hAnsi="Arial Narrow" w:cs="Times New Roman"/>
          <w:sz w:val="24"/>
        </w:rPr>
        <w:t>законите паралелно да регулираат иста материја поради што овој предлог Закон е непотребен, или</w:t>
      </w:r>
    </w:p>
    <w:p w:rsidR="00AB1F17" w:rsidRPr="00993F17" w:rsidRDefault="00AB1F17" w:rsidP="00993F17">
      <w:pPr>
        <w:pStyle w:val="ListParagraph"/>
        <w:numPr>
          <w:ilvl w:val="0"/>
          <w:numId w:val="6"/>
        </w:numPr>
        <w:spacing w:after="120" w:line="276" w:lineRule="auto"/>
        <w:contextualSpacing w:val="0"/>
        <w:jc w:val="both"/>
        <w:rPr>
          <w:rFonts w:ascii="Arial Narrow" w:hAnsi="Arial Narrow" w:cs="Times New Roman"/>
          <w:sz w:val="24"/>
        </w:rPr>
      </w:pPr>
      <w:r w:rsidRPr="00993F17">
        <w:rPr>
          <w:rFonts w:ascii="Arial Narrow" w:hAnsi="Arial Narrow" w:cs="Times New Roman"/>
          <w:sz w:val="24"/>
        </w:rPr>
        <w:lastRenderedPageBreak/>
        <w:t xml:space="preserve">законите да бидат во колизија бидејќи предвидуваат различно постапување во иста ситуација. </w:t>
      </w:r>
    </w:p>
    <w:p w:rsidR="00AB1F17" w:rsidRPr="00AB1F17" w:rsidRDefault="004C1062" w:rsidP="00993F17">
      <w:pPr>
        <w:spacing w:after="120" w:line="276" w:lineRule="auto"/>
        <w:jc w:val="both"/>
        <w:rPr>
          <w:rFonts w:ascii="Arial Narrow" w:hAnsi="Arial Narrow" w:cs="Times New Roman"/>
          <w:sz w:val="24"/>
        </w:rPr>
      </w:pPr>
      <w:r>
        <w:rPr>
          <w:rFonts w:ascii="Arial Narrow" w:hAnsi="Arial Narrow" w:cs="Times New Roman"/>
          <w:sz w:val="24"/>
        </w:rPr>
        <w:t xml:space="preserve">Предлагачот не </w:t>
      </w:r>
      <w:r w:rsidR="00AB1F17" w:rsidRPr="00AB1F17">
        <w:rPr>
          <w:rFonts w:ascii="Arial Narrow" w:hAnsi="Arial Narrow" w:cs="Times New Roman"/>
          <w:sz w:val="24"/>
        </w:rPr>
        <w:t>го разгледува ни прашањето за можноста за повторување на постапката пред националните судови кога ЕСЧП ќе утврди повреда на член 6 од ЕКЧП (врзано за постојните докази, неприфаќање на докази на обвинетиот а е донесена одлука само врз основаа на докази од обвинителството). Наведените повреди во чл. 2 од нацрт законот секогаш можат да бидат предмет на оценување како пред националните та</w:t>
      </w:r>
      <w:r>
        <w:rPr>
          <w:rFonts w:ascii="Arial Narrow" w:hAnsi="Arial Narrow" w:cs="Times New Roman"/>
          <w:sz w:val="24"/>
        </w:rPr>
        <w:t xml:space="preserve">ка и пред меѓународните судови </w:t>
      </w:r>
      <w:r w:rsidR="00AB1F17" w:rsidRPr="00AB1F17">
        <w:rPr>
          <w:rFonts w:ascii="Arial Narrow" w:hAnsi="Arial Narrow" w:cs="Times New Roman"/>
          <w:sz w:val="24"/>
        </w:rPr>
        <w:t>(жалби по основ на непотполна и неправилн</w:t>
      </w:r>
      <w:r>
        <w:rPr>
          <w:rFonts w:ascii="Arial Narrow" w:hAnsi="Arial Narrow" w:cs="Times New Roman"/>
          <w:sz w:val="24"/>
        </w:rPr>
        <w:t>о</w:t>
      </w:r>
      <w:r w:rsidR="00AB1F17" w:rsidRPr="00AB1F17">
        <w:rPr>
          <w:rFonts w:ascii="Arial Narrow" w:hAnsi="Arial Narrow" w:cs="Times New Roman"/>
          <w:sz w:val="24"/>
        </w:rPr>
        <w:t xml:space="preserve"> утврдена фактичка состојба каде ќе се оценува состојбата со доказите и слични апликации пред ЕСЧП).</w:t>
      </w:r>
    </w:p>
    <w:p w:rsidR="00AB1F17" w:rsidRPr="00AB1F17" w:rsidRDefault="00AB1F17" w:rsidP="00993F17">
      <w:pPr>
        <w:spacing w:after="120" w:line="276" w:lineRule="auto"/>
        <w:jc w:val="both"/>
        <w:rPr>
          <w:rFonts w:ascii="Arial Narrow" w:hAnsi="Arial Narrow" w:cs="Times New Roman"/>
          <w:sz w:val="24"/>
        </w:rPr>
      </w:pPr>
      <w:r w:rsidRPr="00AB1F17">
        <w:rPr>
          <w:rFonts w:ascii="Arial Narrow" w:hAnsi="Arial Narrow" w:cs="Times New Roman"/>
          <w:sz w:val="24"/>
        </w:rPr>
        <w:t xml:space="preserve">Дополнителен проблем во оваа смисла се и различните дефиниции кои се понудени во Предлог законот, кои се поопшти од оние понудени во ЗКП, па така истите можат да бидат предмет на различно и широко толкување, особено при утврдување дали определена фактичка состојба кореспондира со дадената дефиниција во членовите 1 и 2 </w:t>
      </w:r>
      <w:r w:rsidR="004C1062">
        <w:rPr>
          <w:rFonts w:ascii="Arial Narrow" w:hAnsi="Arial Narrow" w:cs="Times New Roman"/>
          <w:sz w:val="24"/>
        </w:rPr>
        <w:t xml:space="preserve">од </w:t>
      </w:r>
      <w:r w:rsidRPr="00AB1F17">
        <w:rPr>
          <w:rFonts w:ascii="Arial Narrow" w:hAnsi="Arial Narrow" w:cs="Times New Roman"/>
          <w:sz w:val="24"/>
        </w:rPr>
        <w:t>Предлог законот (пример „повреда на правото на неприкосновеност на физичкиот и моралниот интегритет“). Од друга страна, во членот 2 од Предлог законот каде се таксативно набројани ситуации согласно кои може да се повтори постапката, може да се забележи дека одреден дел од истите не претставуваат суштинска повреда на кривичната постапка согласно дефинициите во членот 415 од ЗКП (на пример „злоупотреба на системот за распределба на судските предмети (АКМИС)“). Во оваа насока и Европскиот суд за човекови права во повеќе предмети го има прифатено стојалиштето дека повредите на постапката мора да имаат ефект врз севкупната правичност на процесот како би се сметало дека станува збор за суштински повреди поради кои би можело да се повтори постапката и да се преиначи првичната одлука на домашните судови, односно постоење на било каква повреда на определено право на одбраната не може да се смета за суштинска повреда која има ефект врз крајниот исход и севкупната правичност на процесот.</w:t>
      </w:r>
    </w:p>
    <w:p w:rsidR="00AB1F17" w:rsidRPr="00AB1F17" w:rsidRDefault="00AB1F17" w:rsidP="00993F17">
      <w:pPr>
        <w:spacing w:after="120" w:line="276" w:lineRule="auto"/>
        <w:jc w:val="both"/>
        <w:rPr>
          <w:rFonts w:ascii="Arial Narrow" w:hAnsi="Arial Narrow" w:cs="Times New Roman"/>
          <w:sz w:val="24"/>
        </w:rPr>
      </w:pPr>
      <w:r w:rsidRPr="00AB1F17">
        <w:rPr>
          <w:rFonts w:ascii="Arial Narrow" w:hAnsi="Arial Narrow" w:cs="Times New Roman"/>
          <w:sz w:val="24"/>
        </w:rPr>
        <w:t>Согласно Предлог законот, судот прибира факти и докази со цел самостојно да ги истражува фактите, но согласно ЗКП од 2010 година, судот повеќе нема ниту законска можност, ниту пак оперативна можност во смисла на ресурси, да прибира докази и факти и самостојно да спроведува истрага. Дополнително, ваквата истражна моќ, односно надлежност, права и должност за спроведување на истрага и прибирање на докази и факти ја има единствено јавното обвинителство и правосудната полиција која е подредена на јавниот обвинител кој ја води истрагата. Во цел овој процес, согласно ЗКП, судот е само пасивен контролор над постапувањето на странките и истиот се грижи да бидат запазени сите процесни гаранции и права на учесниците, без истиот активно да се впушта во било какво учество во постапката, независно во која фаза истата се одвива. На овој начин, Предлог законот не само што воведува одредби кои се во спротивност со ЗКП, истиот воведува обврска за судовите која истите нема да можат да ја исполнат заради правни (ЗКП) и фактички пречки (одамна префрлени капацитети за истражување од судот во јавното обвинителство). Во оваа насока, Предлог законот не нуди други одредби и правила на новата постапка, процесни гаранции за учество на засегнатите лица, постапувањето на судот и слично.</w:t>
      </w:r>
    </w:p>
    <w:p w:rsidR="00AB1F17" w:rsidRPr="00AB1F17" w:rsidRDefault="00AB1F17" w:rsidP="00993F17">
      <w:pPr>
        <w:spacing w:after="120" w:line="276" w:lineRule="auto"/>
        <w:jc w:val="both"/>
        <w:rPr>
          <w:rFonts w:ascii="Arial Narrow" w:hAnsi="Arial Narrow" w:cs="Times New Roman"/>
          <w:sz w:val="24"/>
        </w:rPr>
      </w:pPr>
      <w:r w:rsidRPr="00AB1F17">
        <w:rPr>
          <w:rFonts w:ascii="Arial Narrow" w:hAnsi="Arial Narrow" w:cs="Times New Roman"/>
          <w:sz w:val="24"/>
        </w:rPr>
        <w:lastRenderedPageBreak/>
        <w:t>Во предлогот се укажува дека ќе се третираат проблемите од кривичната материја, а во исто време се повикува и на други судски постапки, но присутни се уште многу елементи што ги прават заложбите на подносителот не</w:t>
      </w:r>
      <w:r w:rsidR="00C55E68">
        <w:rPr>
          <w:rFonts w:ascii="Arial Narrow" w:hAnsi="Arial Narrow" w:cs="Times New Roman"/>
          <w:sz w:val="24"/>
        </w:rPr>
        <w:t>јасни и контрадикторни. Според П</w:t>
      </w:r>
      <w:r w:rsidRPr="00AB1F17">
        <w:rPr>
          <w:rFonts w:ascii="Arial Narrow" w:hAnsi="Arial Narrow" w:cs="Times New Roman"/>
          <w:sz w:val="24"/>
        </w:rPr>
        <w:t>редлог законот повторувањето значи укинување на правосилните пресуди и дејствија на други државни органи преземени врз основа на тие пресуди и враќање на првобитната состојба на правата и имотот на осудените лица</w:t>
      </w:r>
      <w:r w:rsidR="00C55E68">
        <w:rPr>
          <w:rFonts w:ascii="Arial Narrow" w:hAnsi="Arial Narrow" w:cs="Times New Roman"/>
          <w:sz w:val="24"/>
        </w:rPr>
        <w:t>.</w:t>
      </w:r>
      <w:r w:rsidRPr="00AB1F17">
        <w:rPr>
          <w:rFonts w:ascii="Arial Narrow" w:hAnsi="Arial Narrow" w:cs="Times New Roman"/>
          <w:sz w:val="24"/>
        </w:rPr>
        <w:t xml:space="preserve"> Не е јасно пред кој државен орган и како ќе се повторува постапката за неговите дејствија кои се укинати. Не се нуди одговор ни на прашањето дали пресудите на Врховниот суд на РСМ остануваат не третирани кога се укинуваат правосилните пресуди (пресуда станува правосилна кога е одлучено по жалба) и што е со одлуките по вонредните правни средства каде одлучува Врховниот суд на РСМ. Нема образложение зошто судија кој учествувал во претходна постапка не може да учествува во постапката која се повторува. </w:t>
      </w:r>
    </w:p>
    <w:p w:rsidR="00AB1F17" w:rsidRPr="00AB1F17" w:rsidRDefault="00AB1F17" w:rsidP="00993F17">
      <w:pPr>
        <w:spacing w:after="120" w:line="276" w:lineRule="auto"/>
        <w:jc w:val="both"/>
        <w:rPr>
          <w:rFonts w:ascii="Arial Narrow" w:hAnsi="Arial Narrow" w:cs="Times New Roman"/>
          <w:sz w:val="24"/>
        </w:rPr>
      </w:pPr>
      <w:r w:rsidRPr="00AB1F17">
        <w:rPr>
          <w:rFonts w:ascii="Arial Narrow" w:hAnsi="Arial Narrow" w:cs="Times New Roman"/>
          <w:sz w:val="24"/>
        </w:rPr>
        <w:t>Во одредбите на законот е предвиден период од една година како краен рок за користење на правото за повторување на постапката согласносо овој закон, сметано од денот на</w:t>
      </w:r>
      <w:r w:rsidR="00C55E68">
        <w:rPr>
          <w:rFonts w:ascii="Arial Narrow" w:hAnsi="Arial Narrow" w:cs="Times New Roman"/>
          <w:sz w:val="24"/>
        </w:rPr>
        <w:t xml:space="preserve"> </w:t>
      </w:r>
      <w:r w:rsidRPr="00AB1F17">
        <w:rPr>
          <w:rFonts w:ascii="Arial Narrow" w:hAnsi="Arial Narrow" w:cs="Times New Roman"/>
          <w:sz w:val="24"/>
        </w:rPr>
        <w:t>неговото стапување во сила. Ваквата важност на законот од 1 година ја доведува во прашање правната сигурност и појава на дискриминаторски однос кај пристапот до правда.</w:t>
      </w:r>
    </w:p>
    <w:p w:rsidR="00AB1F17" w:rsidRPr="00AB1F17" w:rsidRDefault="00AB1F17" w:rsidP="00993F17">
      <w:pPr>
        <w:spacing w:after="120" w:line="276" w:lineRule="auto"/>
        <w:jc w:val="both"/>
        <w:rPr>
          <w:rFonts w:ascii="Arial Narrow" w:hAnsi="Arial Narrow" w:cs="Times New Roman"/>
          <w:sz w:val="24"/>
        </w:rPr>
      </w:pPr>
      <w:r w:rsidRPr="00AB1F17">
        <w:rPr>
          <w:rFonts w:ascii="Arial Narrow" w:hAnsi="Arial Narrow" w:cs="Times New Roman"/>
          <w:sz w:val="24"/>
        </w:rPr>
        <w:t>Недоволната проценка на влијанието на регулативата се рефлектира и во тврдењето дека овој закон нема да предизвика финансиски импликации на буџетот</w:t>
      </w:r>
      <w:r w:rsidR="00C55E68">
        <w:rPr>
          <w:rFonts w:ascii="Arial Narrow" w:hAnsi="Arial Narrow" w:cs="Times New Roman"/>
          <w:sz w:val="24"/>
        </w:rPr>
        <w:t>, но</w:t>
      </w:r>
      <w:r w:rsidRPr="00AB1F17">
        <w:rPr>
          <w:rFonts w:ascii="Arial Narrow" w:hAnsi="Arial Narrow" w:cs="Times New Roman"/>
          <w:sz w:val="24"/>
        </w:rPr>
        <w:t xml:space="preserve"> не е земено предвид кој би ги надоместувал трошоците по постапката и на адвокатите на лицата кои сами ги определиле или по службена должност им биле назначени. </w:t>
      </w:r>
    </w:p>
    <w:p w:rsidR="002A3597" w:rsidRDefault="00C55E68" w:rsidP="00993F17">
      <w:pPr>
        <w:spacing w:after="120" w:line="276" w:lineRule="auto"/>
        <w:jc w:val="both"/>
        <w:rPr>
          <w:rFonts w:ascii="Arial Narrow" w:hAnsi="Arial Narrow" w:cs="Times New Roman"/>
          <w:sz w:val="24"/>
        </w:rPr>
      </w:pPr>
      <w:r>
        <w:rPr>
          <w:rFonts w:ascii="Arial Narrow" w:hAnsi="Arial Narrow" w:cs="Times New Roman"/>
          <w:sz w:val="24"/>
        </w:rPr>
        <w:t>Имајќи го</w:t>
      </w:r>
      <w:r w:rsidR="00AB1F17" w:rsidRPr="00AB1F17">
        <w:rPr>
          <w:rFonts w:ascii="Arial Narrow" w:hAnsi="Arial Narrow" w:cs="Times New Roman"/>
          <w:sz w:val="24"/>
        </w:rPr>
        <w:t xml:space="preserve"> предвид се претходно наведено, Блупринт групата за следење на реформи во правосудството апелира во иднина да се предлагаат квалитетни закони креирани исклучиво врз основа на претходно спроведена опсежна анализа, проценка на влијание на регулативата и во инклузивен процес на сите засегнати чинители. Предлог законите потребно е да се конзистентни и усогласени со правната рамка во областа и сродните области и да се јасни и разбирливи за сите, како би се избегнале колизии на закони кои создаваат правна несигурност и го нарушуваат принципот на владеење на правото.</w:t>
      </w:r>
    </w:p>
    <w:p w:rsidR="009D280B" w:rsidRDefault="009D280B" w:rsidP="009D280B">
      <w:pPr>
        <w:spacing w:after="0" w:line="276" w:lineRule="auto"/>
        <w:jc w:val="both"/>
        <w:rPr>
          <w:rFonts w:ascii="Arial Narrow" w:hAnsi="Arial Narrow" w:cs="Times New Roman"/>
          <w:sz w:val="24"/>
        </w:rPr>
      </w:pPr>
    </w:p>
    <w:p w:rsidR="009D280B" w:rsidRDefault="009D280B" w:rsidP="009D280B">
      <w:pPr>
        <w:spacing w:after="0" w:line="276" w:lineRule="auto"/>
        <w:jc w:val="both"/>
        <w:rPr>
          <w:rFonts w:ascii="Arial Narrow" w:hAnsi="Arial Narrow" w:cs="Times New Roman"/>
          <w:sz w:val="24"/>
        </w:rPr>
      </w:pPr>
      <w:r>
        <w:rPr>
          <w:rFonts w:ascii="Arial Narrow" w:hAnsi="Arial Narrow" w:cs="Times New Roman"/>
          <w:sz w:val="24"/>
        </w:rPr>
        <w:t xml:space="preserve">Лица за контакт: </w:t>
      </w:r>
    </w:p>
    <w:p w:rsidR="009D280B" w:rsidRDefault="009D280B" w:rsidP="009D280B">
      <w:pPr>
        <w:spacing w:after="0" w:line="276" w:lineRule="auto"/>
        <w:jc w:val="both"/>
        <w:rPr>
          <w:rFonts w:ascii="Arial Narrow" w:hAnsi="Arial Narrow" w:cs="Times New Roman"/>
          <w:sz w:val="24"/>
        </w:rPr>
      </w:pPr>
      <w:r>
        <w:rPr>
          <w:rFonts w:ascii="Arial Narrow" w:hAnsi="Arial Narrow" w:cs="Times New Roman"/>
          <w:sz w:val="24"/>
        </w:rPr>
        <w:t>Натали Петровска</w:t>
      </w:r>
      <w:r>
        <w:rPr>
          <w:rFonts w:ascii="Arial Narrow" w:hAnsi="Arial Narrow" w:cs="Times New Roman"/>
          <w:sz w:val="24"/>
          <w:lang w:val="en-US"/>
        </w:rPr>
        <w:t xml:space="preserve">, </w:t>
      </w:r>
      <w:r>
        <w:rPr>
          <w:rFonts w:ascii="Arial Narrow" w:hAnsi="Arial Narrow" w:cs="Times New Roman"/>
          <w:sz w:val="24"/>
        </w:rPr>
        <w:t xml:space="preserve">Коалиција Сите за правично судење </w:t>
      </w:r>
    </w:p>
    <w:p w:rsidR="009D280B" w:rsidRDefault="009D280B" w:rsidP="009D280B">
      <w:pPr>
        <w:spacing w:after="0" w:line="276" w:lineRule="auto"/>
        <w:jc w:val="both"/>
        <w:rPr>
          <w:rFonts w:ascii="Arial Narrow" w:hAnsi="Arial Narrow" w:cs="Times New Roman"/>
          <w:sz w:val="24"/>
        </w:rPr>
      </w:pPr>
      <w:hyperlink r:id="rId9" w:history="1">
        <w:r w:rsidRPr="0071049A">
          <w:rPr>
            <w:rStyle w:val="Hyperlink"/>
            <w:rFonts w:ascii="Arial Narrow" w:hAnsi="Arial Narrow" w:cs="Times New Roman"/>
            <w:sz w:val="24"/>
          </w:rPr>
          <w:t>npetrovska@all4fairtrials.org.mk</w:t>
        </w:r>
      </w:hyperlink>
      <w:r>
        <w:rPr>
          <w:rFonts w:ascii="Arial Narrow" w:hAnsi="Arial Narrow" w:cs="Times New Roman"/>
          <w:sz w:val="24"/>
        </w:rPr>
        <w:t>, 0</w:t>
      </w:r>
      <w:r w:rsidRPr="009D280B">
        <w:rPr>
          <w:rFonts w:ascii="Arial Narrow" w:hAnsi="Arial Narrow" w:cs="Times New Roman"/>
          <w:sz w:val="24"/>
        </w:rPr>
        <w:t>70</w:t>
      </w:r>
      <w:r>
        <w:rPr>
          <w:rFonts w:ascii="Arial Narrow" w:hAnsi="Arial Narrow" w:cs="Times New Roman"/>
          <w:sz w:val="24"/>
        </w:rPr>
        <w:t>/</w:t>
      </w:r>
      <w:r w:rsidRPr="009D280B">
        <w:rPr>
          <w:rFonts w:ascii="Arial Narrow" w:hAnsi="Arial Narrow" w:cs="Times New Roman"/>
          <w:sz w:val="24"/>
        </w:rPr>
        <w:t>315</w:t>
      </w:r>
      <w:r>
        <w:rPr>
          <w:rFonts w:ascii="Arial Narrow" w:hAnsi="Arial Narrow" w:cs="Times New Roman"/>
          <w:sz w:val="24"/>
        </w:rPr>
        <w:t>-</w:t>
      </w:r>
      <w:r w:rsidRPr="009D280B">
        <w:rPr>
          <w:rFonts w:ascii="Arial Narrow" w:hAnsi="Arial Narrow" w:cs="Times New Roman"/>
          <w:sz w:val="24"/>
        </w:rPr>
        <w:t>990</w:t>
      </w:r>
    </w:p>
    <w:p w:rsidR="009D280B" w:rsidRDefault="009D280B" w:rsidP="009D280B">
      <w:pPr>
        <w:spacing w:after="0" w:line="276" w:lineRule="auto"/>
        <w:jc w:val="both"/>
        <w:rPr>
          <w:rFonts w:ascii="Arial Narrow" w:hAnsi="Arial Narrow" w:cs="Times New Roman"/>
          <w:sz w:val="24"/>
          <w:lang w:val="en-US"/>
        </w:rPr>
      </w:pPr>
    </w:p>
    <w:p w:rsidR="009D280B" w:rsidRDefault="009D280B" w:rsidP="009D280B">
      <w:pPr>
        <w:spacing w:after="0" w:line="276" w:lineRule="auto"/>
        <w:jc w:val="both"/>
        <w:rPr>
          <w:rFonts w:ascii="Arial Narrow" w:hAnsi="Arial Narrow" w:cs="Times New Roman"/>
          <w:sz w:val="24"/>
        </w:rPr>
      </w:pPr>
      <w:r>
        <w:rPr>
          <w:rFonts w:ascii="Arial Narrow" w:hAnsi="Arial Narrow" w:cs="Times New Roman"/>
          <w:sz w:val="24"/>
        </w:rPr>
        <w:t xml:space="preserve">Александра Цветановска, Македонско здружение на млади правници </w:t>
      </w:r>
    </w:p>
    <w:p w:rsidR="009D280B" w:rsidRPr="009D280B" w:rsidRDefault="009D280B" w:rsidP="009D280B">
      <w:pPr>
        <w:spacing w:after="0" w:line="276" w:lineRule="auto"/>
        <w:jc w:val="both"/>
        <w:rPr>
          <w:rFonts w:ascii="Arial Narrow" w:hAnsi="Arial Narrow" w:cs="Times New Roman"/>
          <w:sz w:val="24"/>
          <w:lang w:val="en-US"/>
        </w:rPr>
      </w:pPr>
      <w:hyperlink r:id="rId10" w:history="1">
        <w:r w:rsidRPr="0071049A">
          <w:rPr>
            <w:rStyle w:val="Hyperlink"/>
            <w:rFonts w:ascii="Arial Narrow" w:hAnsi="Arial Narrow" w:cs="Times New Roman"/>
            <w:sz w:val="24"/>
            <w:lang w:val="en-US"/>
          </w:rPr>
          <w:t>acvetanovska@myla.org.mk</w:t>
        </w:r>
      </w:hyperlink>
      <w:r>
        <w:rPr>
          <w:rFonts w:ascii="Arial Narrow" w:hAnsi="Arial Narrow" w:cs="Times New Roman"/>
          <w:sz w:val="24"/>
          <w:lang w:val="en-US"/>
        </w:rPr>
        <w:t>, 075/427-735</w:t>
      </w:r>
    </w:p>
    <w:sectPr w:rsidR="009D280B" w:rsidRPr="009D280B" w:rsidSect="00BF56A3">
      <w:headerReference w:type="default" r:id="rId11"/>
      <w:footerReference w:type="default" r:id="rId12"/>
      <w:pgSz w:w="11906" w:h="16838"/>
      <w:pgMar w:top="2419" w:right="1440" w:bottom="1440" w:left="1440"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2ED" w:rsidRDefault="002E62ED" w:rsidP="00A008FC">
      <w:pPr>
        <w:spacing w:after="0" w:line="240" w:lineRule="auto"/>
      </w:pPr>
      <w:r>
        <w:separator/>
      </w:r>
    </w:p>
  </w:endnote>
  <w:endnote w:type="continuationSeparator" w:id="0">
    <w:p w:rsidR="002E62ED" w:rsidRDefault="002E62ED" w:rsidP="00A00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392311"/>
      <w:docPartObj>
        <w:docPartGallery w:val="Page Numbers (Bottom of Page)"/>
        <w:docPartUnique/>
      </w:docPartObj>
    </w:sdtPr>
    <w:sdtContent>
      <w:p w:rsidR="009D280B" w:rsidRDefault="009D280B">
        <w:pPr>
          <w:pStyle w:val="Footer"/>
        </w:pPr>
        <w:r>
          <w:rPr>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9D280B" w:rsidRDefault="009D280B">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643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9D280B" w:rsidRDefault="009D280B">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5A952F7"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2ED" w:rsidRDefault="002E62ED" w:rsidP="00A008FC">
      <w:pPr>
        <w:spacing w:after="0" w:line="240" w:lineRule="auto"/>
      </w:pPr>
      <w:r>
        <w:separator/>
      </w:r>
    </w:p>
  </w:footnote>
  <w:footnote w:type="continuationSeparator" w:id="0">
    <w:p w:rsidR="002E62ED" w:rsidRDefault="002E62ED" w:rsidP="00A00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6A3" w:rsidRDefault="00BF56A3">
    <w:pPr>
      <w:pStyle w:val="Header"/>
      <w:rPr>
        <w:noProof/>
        <w:lang w:val="en-US" w:eastAsia="mk-MK"/>
      </w:rPr>
    </w:pPr>
    <w:r>
      <w:rPr>
        <w:noProof/>
      </w:rPr>
      <w:drawing>
        <wp:anchor distT="0" distB="0" distL="114300" distR="114300" simplePos="0" relativeHeight="251663360" behindDoc="1" locked="0" layoutInCell="1" allowOverlap="1" wp14:anchorId="667816BB" wp14:editId="280CE0FF">
          <wp:simplePos x="0" y="0"/>
          <wp:positionH relativeFrom="margin">
            <wp:posOffset>76200</wp:posOffset>
          </wp:positionH>
          <wp:positionV relativeFrom="paragraph">
            <wp:posOffset>647065</wp:posOffset>
          </wp:positionV>
          <wp:extent cx="2190750" cy="447040"/>
          <wp:effectExtent l="0" t="0" r="0" b="0"/>
          <wp:wrapTight wrapText="bothSides">
            <wp:wrapPolygon edited="0">
              <wp:start x="0" y="0"/>
              <wp:lineTo x="0" y="20250"/>
              <wp:lineTo x="21412" y="20250"/>
              <wp:lineTo x="21412" y="0"/>
              <wp:lineTo x="0" y="0"/>
            </wp:wrapPolygon>
          </wp:wrapTight>
          <wp:docPr id="135" name="Picture 135" descr="fosm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sm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47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05B755C" wp14:editId="7FB22BAD">
          <wp:simplePos x="0" y="0"/>
          <wp:positionH relativeFrom="margin">
            <wp:posOffset>0</wp:posOffset>
          </wp:positionH>
          <wp:positionV relativeFrom="paragraph">
            <wp:posOffset>-635</wp:posOffset>
          </wp:positionV>
          <wp:extent cx="2405301" cy="809625"/>
          <wp:effectExtent l="0" t="0" r="0" b="0"/>
          <wp:wrapNone/>
          <wp:docPr id="18" name="Picture 18" descr="FIOOM logo new 2011 smal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OOM logo new 2011 small-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5301"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w:t>
    </w:r>
    <w:r>
      <w:rPr>
        <w:noProof/>
        <w:lang w:val="en-US" w:eastAsia="mk-MK"/>
      </w:rPr>
      <w:t xml:space="preserve">                             </w:t>
    </w:r>
  </w:p>
  <w:p w:rsidR="00A008FC" w:rsidRPr="00BF56A3" w:rsidRDefault="00BF56A3" w:rsidP="00BF56A3">
    <w:pPr>
      <w:pStyle w:val="Header"/>
      <w:tabs>
        <w:tab w:val="clear" w:pos="4513"/>
        <w:tab w:val="center" w:pos="5670"/>
      </w:tabs>
      <w:rPr>
        <w:lang w:val="en-US"/>
      </w:rPr>
    </w:pPr>
    <w:r>
      <w:rPr>
        <w:lang w:val="en-US"/>
      </w:rPr>
      <w:t xml:space="preserve">         </w:t>
    </w:r>
    <w:r w:rsidR="00AB1F17">
      <w:rPr>
        <w:lang w:val="en-US"/>
      </w:rPr>
      <w:t xml:space="preserve">      </w:t>
    </w:r>
    <w:r>
      <w:rPr>
        <w:lang w:val="en-US"/>
      </w:rPr>
      <w:t xml:space="preserve">  </w:t>
    </w:r>
    <w:r>
      <w:rPr>
        <w:noProof/>
        <w:lang w:eastAsia="mk-MK"/>
      </w:rPr>
      <w:drawing>
        <wp:inline distT="0" distB="0" distL="0" distR="0" wp14:anchorId="4E7678A3" wp14:editId="31FEEC3E">
          <wp:extent cx="2685805" cy="1015365"/>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06306" cy="10231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5237C"/>
    <w:multiLevelType w:val="hybridMultilevel"/>
    <w:tmpl w:val="74207C44"/>
    <w:lvl w:ilvl="0" w:tplc="BFEEACCA">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38ED0E5F"/>
    <w:multiLevelType w:val="hybridMultilevel"/>
    <w:tmpl w:val="F9D4C6CC"/>
    <w:lvl w:ilvl="0" w:tplc="6C28C3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051DC4"/>
    <w:multiLevelType w:val="hybridMultilevel"/>
    <w:tmpl w:val="B2A26E7E"/>
    <w:lvl w:ilvl="0" w:tplc="1A5A6A2C">
      <w:numFmt w:val="bullet"/>
      <w:lvlText w:val="-"/>
      <w:lvlJc w:val="left"/>
      <w:pPr>
        <w:ind w:left="720" w:hanging="36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A41484"/>
    <w:multiLevelType w:val="hybridMultilevel"/>
    <w:tmpl w:val="77A20E5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71297685"/>
    <w:multiLevelType w:val="hybridMultilevel"/>
    <w:tmpl w:val="5ABA19CC"/>
    <w:lvl w:ilvl="0" w:tplc="6C28C3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025848"/>
    <w:multiLevelType w:val="hybridMultilevel"/>
    <w:tmpl w:val="1FCC23C0"/>
    <w:lvl w:ilvl="0" w:tplc="6C28C35A">
      <w:start w:val="1"/>
      <w:numFmt w:val="bullet"/>
      <w:lvlText w:val=""/>
      <w:lvlJc w:val="left"/>
      <w:pPr>
        <w:ind w:left="720" w:hanging="360"/>
      </w:pPr>
      <w:rPr>
        <w:rFonts w:ascii="Symbol" w:hAnsi="Symbol" w:hint="default"/>
      </w:rPr>
    </w:lvl>
    <w:lvl w:ilvl="1" w:tplc="EB2A3642">
      <w:numFmt w:val="bullet"/>
      <w:lvlText w:val="-"/>
      <w:lvlJc w:val="left"/>
      <w:pPr>
        <w:ind w:left="1440" w:hanging="360"/>
      </w:pPr>
      <w:rPr>
        <w:rFonts w:ascii="Arial Narrow" w:eastAsiaTheme="minorHAnsi"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46D"/>
    <w:rsid w:val="001338EF"/>
    <w:rsid w:val="00176976"/>
    <w:rsid w:val="00260858"/>
    <w:rsid w:val="002A3597"/>
    <w:rsid w:val="002B1C4D"/>
    <w:rsid w:val="002E62ED"/>
    <w:rsid w:val="002F6F98"/>
    <w:rsid w:val="00305416"/>
    <w:rsid w:val="004C1062"/>
    <w:rsid w:val="004D53D7"/>
    <w:rsid w:val="0052770F"/>
    <w:rsid w:val="005F6031"/>
    <w:rsid w:val="00600FE0"/>
    <w:rsid w:val="006A02A3"/>
    <w:rsid w:val="006B312D"/>
    <w:rsid w:val="006C2688"/>
    <w:rsid w:val="006D204B"/>
    <w:rsid w:val="006F6DEF"/>
    <w:rsid w:val="00734F53"/>
    <w:rsid w:val="007E4CAD"/>
    <w:rsid w:val="00805B44"/>
    <w:rsid w:val="008A161E"/>
    <w:rsid w:val="0091685A"/>
    <w:rsid w:val="00993F17"/>
    <w:rsid w:val="009C3FA3"/>
    <w:rsid w:val="009D280B"/>
    <w:rsid w:val="00A008FC"/>
    <w:rsid w:val="00A0784C"/>
    <w:rsid w:val="00A308E6"/>
    <w:rsid w:val="00AB1F17"/>
    <w:rsid w:val="00AC2822"/>
    <w:rsid w:val="00AE17C6"/>
    <w:rsid w:val="00BA231F"/>
    <w:rsid w:val="00BA5D15"/>
    <w:rsid w:val="00BE1D96"/>
    <w:rsid w:val="00BF56A3"/>
    <w:rsid w:val="00C55E68"/>
    <w:rsid w:val="00CA4FA3"/>
    <w:rsid w:val="00CE546D"/>
    <w:rsid w:val="00D05077"/>
    <w:rsid w:val="00D10316"/>
    <w:rsid w:val="00E01212"/>
    <w:rsid w:val="00E0325D"/>
    <w:rsid w:val="00F24ED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84A76"/>
  <w15:chartTrackingRefBased/>
  <w15:docId w15:val="{CEA8C922-8CCA-4089-9419-357B0A76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8FC"/>
  </w:style>
  <w:style w:type="paragraph" w:styleId="Footer">
    <w:name w:val="footer"/>
    <w:basedOn w:val="Normal"/>
    <w:link w:val="FooterChar"/>
    <w:uiPriority w:val="99"/>
    <w:unhideWhenUsed/>
    <w:rsid w:val="00A00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8FC"/>
  </w:style>
  <w:style w:type="character" w:styleId="Hyperlink">
    <w:name w:val="Hyperlink"/>
    <w:uiPriority w:val="99"/>
    <w:unhideWhenUsed/>
    <w:rsid w:val="00A008FC"/>
    <w:rPr>
      <w:color w:val="0000FF"/>
      <w:u w:val="single"/>
    </w:rPr>
  </w:style>
  <w:style w:type="paragraph" w:styleId="ListParagraph">
    <w:name w:val="List Paragraph"/>
    <w:basedOn w:val="Normal"/>
    <w:uiPriority w:val="34"/>
    <w:qFormat/>
    <w:rsid w:val="00F24EDE"/>
    <w:pPr>
      <w:ind w:left="720"/>
      <w:contextualSpacing/>
    </w:pPr>
  </w:style>
  <w:style w:type="character" w:styleId="UnresolvedMention">
    <w:name w:val="Unresolved Mention"/>
    <w:basedOn w:val="DefaultParagraphFont"/>
    <w:uiPriority w:val="99"/>
    <w:semiHidden/>
    <w:unhideWhenUsed/>
    <w:rsid w:val="009D2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191936">
      <w:bodyDiv w:val="1"/>
      <w:marLeft w:val="0"/>
      <w:marRight w:val="0"/>
      <w:marTop w:val="0"/>
      <w:marBottom w:val="0"/>
      <w:divBdr>
        <w:top w:val="none" w:sz="0" w:space="0" w:color="auto"/>
        <w:left w:val="none" w:sz="0" w:space="0" w:color="auto"/>
        <w:bottom w:val="none" w:sz="0" w:space="0" w:color="auto"/>
        <w:right w:val="none" w:sz="0" w:space="0" w:color="auto"/>
      </w:divBdr>
    </w:div>
    <w:div w:id="336467815">
      <w:bodyDiv w:val="1"/>
      <w:marLeft w:val="0"/>
      <w:marRight w:val="0"/>
      <w:marTop w:val="0"/>
      <w:marBottom w:val="0"/>
      <w:divBdr>
        <w:top w:val="none" w:sz="0" w:space="0" w:color="auto"/>
        <w:left w:val="none" w:sz="0" w:space="0" w:color="auto"/>
        <w:bottom w:val="none" w:sz="0" w:space="0" w:color="auto"/>
        <w:right w:val="none" w:sz="0" w:space="0" w:color="auto"/>
      </w:divBdr>
    </w:div>
    <w:div w:id="119014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branie.mk/materialdetails.nspx?materialId=3c8daa4f-4f7e-4dfe-875d-8f7179e52ff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cvetanovska@myla.org.mk" TargetMode="External"/><Relationship Id="rId4" Type="http://schemas.openxmlformats.org/officeDocument/2006/relationships/settings" Target="settings.xml"/><Relationship Id="rId9" Type="http://schemas.openxmlformats.org/officeDocument/2006/relationships/hyperlink" Target="mailto:npetrovska@all4fairtrials.org.m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217FD-66F1-4718-ACD4-2BD228ACC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4</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Gorica Nadjinska</dc:creator>
  <cp:keywords/>
  <dc:description/>
  <cp:lastModifiedBy>Goce  Kocevski</cp:lastModifiedBy>
  <cp:revision>14</cp:revision>
  <cp:lastPrinted>2020-11-26T11:20:00Z</cp:lastPrinted>
  <dcterms:created xsi:type="dcterms:W3CDTF">2020-09-09T07:33:00Z</dcterms:created>
  <dcterms:modified xsi:type="dcterms:W3CDTF">2021-04-26T12:26:00Z</dcterms:modified>
</cp:coreProperties>
</file>